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社会发展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领域重点研发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计划项目指南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一、生态环境领域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（一）生态系统保护与修复关键技术研究。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1.以黄河流域水生态保护与修复为重点，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围绕先行区建设，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支持水土资源耦合与高效利用、湿地滩涂保护与利用、小流域综合治理、泥沙综合处理与利用、高效集水蓄水、水生物种群恢复等关键技术研究与示范。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2.以贺兰山、六盘山、罗山生态屏障防护体系建设为重点，支持山水林田湖草沙综合治理、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生态系统保护修复与智能监测预警、植被恢复与人工林选育、生态经济林引种栽培、生物多样性保护、矿区生态修复、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草地和沙地生态恢复与可持续利用等方面的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高值化、精准化关键或成套技术研究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3.以城市生态系统布局优化与功能提升为重点，支持城市生态系统平衡机制与保持、城市人工林草选育与布局优化、城市生态网络智能监测等关键技术研发与应用。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（二）环境污染治理与资源高效利用关键技术研究。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以推动绿色低碳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升级，实现碳达峰、碳中和目标为重点，支持全周期低碳减排、甲烷等非CO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温室气体减排、碳捕集利用封存（CCUS）等关键技术集成应用；支持森林草原碳汇人工管理、碳汇计量与监测、碳汇开发等关键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技术研究与示范。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以大气污染治理关键技术为重点，支持城市大气主要污染物精准监测、溯源追踪及精准气象条件预报等关键技术研究；支持化工园区清洁生产、挥发性有机物(VOCS)综合治理、重点行业恶臭气体治理关键技术集成创新与示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3.以水污染治理、水资源利用关键技术与装备为重点，支持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城市污水、园区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废水、农田退水、地下水污染防治修复等高效处理技术研究与示范；支持河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水资源优化配置、防洪蓄水、智能节水治水、智慧供水、云水资源监测评估及开发利用、非常规水开发利用、海绵城市构建与功能提升等关键技术研发与示范。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4.以土壤污染防治与修复为重点，支持有毒有害难降解污染物防控、土壤面源污染和盐碱地土壤改良、土壤污染源调查监测研究与风险评估等关键技术研发与示范。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5.以资源高效利用与节能减排为重点，支持一般工业固体废弃物、城乡建筑垃圾、生活垃圾、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可降解回收塑料制品研发、塑料污染治理、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畜禽养殖粪污等综合治理与资源高效利用关键技术研发与示范；支持危险废物、医疗废物无害化、增值化处理技术研发与示范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支持绿色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勘探、建筑节能低碳、清洁供暖等资源高效利用关键技术研发与示范。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人口健康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重大和高发疾病防治关键技术研究。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支持开展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0"/>
        </w:rPr>
        <w:t>心脑血管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0"/>
          <w:lang w:eastAsia="zh-CN"/>
        </w:rPr>
        <w:t>疾病、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神经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系统疾病、恶性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肿瘤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、慢性呼吸系统疾病、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内分泌与代谢性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疾病、</w:t>
      </w:r>
      <w:r>
        <w:rPr>
          <w:rFonts w:hint="eastAsia" w:ascii="仿宋_GB2312" w:eastAsia="仿宋_GB2312"/>
          <w:b w:val="0"/>
          <w:bCs/>
          <w:sz w:val="32"/>
          <w:szCs w:val="32"/>
        </w:rPr>
        <w:t>老年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疾病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慢性非传染性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技术研究。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重大传染病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心理疾病、职业病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、地方病的</w:t>
      </w:r>
      <w:r>
        <w:rPr>
          <w:rFonts w:hint="eastAsia" w:ascii="仿宋_GB2312" w:hAnsi="仿宋_GB2312" w:eastAsia="仿宋_GB2312" w:cs="仿宋_GB2312"/>
          <w:sz w:val="32"/>
          <w:szCs w:val="32"/>
        </w:rPr>
        <w:t>早期诊断、临床治疗、预后监测评估等方面新技术、新方法研究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支持生殖健康及出生缺陷、妇女疾病、儿童多发疾病、老年及残障人群疾病等防控技术研究。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支持生物技术、再生医学、精准医疗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互联网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、大数据、人工智能等新技术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防控、医疗救治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集成创新与应用。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（二）中医药传承创新技术研究。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支持中医药在慢性病诊断、治疗、预防、康复等方面的新技术、新方法及循证、疗效评价研究。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2.支持高发慢性非传染性疾病、突发重大传染性疾病等方面中西医结合防控技术研究。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FangSong_GB2312" w:hAnsi="FangSong_GB2312" w:eastAsia="FangSong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支持特色中医药方剂及产品开发</w:t>
      </w:r>
      <w:r>
        <w:rPr>
          <w:rFonts w:hint="eastAsia" w:ascii="FangSong_GB2312" w:hAnsi="FangSong_GB2312" w:eastAsia="FangSong_GB2312"/>
          <w:sz w:val="32"/>
          <w:lang w:eastAsia="zh-CN"/>
        </w:rPr>
        <w:t>关键技术</w:t>
      </w:r>
      <w:r>
        <w:rPr>
          <w:rFonts w:hint="eastAsia" w:ascii="FangSong_GB2312" w:hAnsi="FangSong_GB2312" w:eastAsia="FangSong_GB2312"/>
          <w:sz w:val="32"/>
        </w:rPr>
        <w:t>研究</w:t>
      </w:r>
      <w:r>
        <w:rPr>
          <w:rFonts w:hint="eastAsia" w:ascii="FangSong_GB2312" w:hAnsi="FangSong_GB2312" w:eastAsia="FangSong_GB2312"/>
          <w:sz w:val="32"/>
          <w:lang w:eastAsia="zh-CN"/>
        </w:rPr>
        <w:t>与应用。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（三）药物创制与健康保障相关技术研究。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支持生物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医药、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高端原料药新产品开发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支持化学原研新药研发以及专利药、仿制药的研发及质量优化研究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康复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技术、设备及残疾人专用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器具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元器件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工艺、材料研究。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公共安全与社会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领域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（一）公共安全保障关键技术研究。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支持气象、地震、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32"/>
        </w:rPr>
        <w:t>旱、火灾、地质等灾害监测预警、应急处置、风险识别研究及救灾技术和装备研发。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2.加强政法科技创新，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支持犯罪侦查与防范、毒品与危险品稽查检测、防恐除暴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、智慧法院、智慧检务、智慧司法等平安宁夏建设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、装备、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产品研发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和集成应用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，以及平安社区创建相关研究与示范。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3.支持高危行业安全生产和重特大安全事故防控关键技术研发。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4.支持食品药品原料、生产、储运、销售等环节质量控制与安全保障技术研发。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其他民生科技</w:t>
      </w:r>
      <w:r>
        <w:rPr>
          <w:rFonts w:hint="eastAsia" w:ascii="楷体" w:hAnsi="楷体" w:eastAsia="楷体" w:cs="楷体"/>
          <w:bCs/>
          <w:sz w:val="32"/>
          <w:szCs w:val="32"/>
        </w:rPr>
        <w:t>领域关键技术研究。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支持教育、文化、旅游、体育、建筑、交通、物流、市政管理、社区治理、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电子商务、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新型城镇化等领域新技术新产品研发与集成应用，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支持云计算、大数据、5G通信、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物联网、区块链、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人工智能等先进技术在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相关民生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领域的应用技术研发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B6C9"/>
    <w:multiLevelType w:val="singleLevel"/>
    <w:tmpl w:val="60E2B6C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4A8B"/>
    <w:rsid w:val="020C5CB8"/>
    <w:rsid w:val="0B824A8B"/>
    <w:rsid w:val="0E223520"/>
    <w:rsid w:val="1B0114F4"/>
    <w:rsid w:val="20296EA8"/>
    <w:rsid w:val="237E55AB"/>
    <w:rsid w:val="3ADB0F3C"/>
    <w:rsid w:val="5E3B26ED"/>
    <w:rsid w:val="5F6B773A"/>
    <w:rsid w:val="628068D6"/>
    <w:rsid w:val="69086568"/>
    <w:rsid w:val="70197C0A"/>
    <w:rsid w:val="7D8A2533"/>
    <w:rsid w:val="7EBE38B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2021-07-21T09:43:00Z</dcterms:created>
  <dc:creator>1</dc:creator>
  <cp:lastModifiedBy>李金芝</cp:lastModifiedBy>
  <cp:lastPrinted>2021-08-06T09:37:30Z</cp:lastPrinted>
  <dcterms:modified xsi:type="dcterms:W3CDTF">2021-08-06T09:46:34Z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