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firstLine="0" w:firstLineChars="0"/>
        <w:rPr>
          <w:rFonts w:hint="eastAsia" w:ascii="方正黑体_GBK" w:hAnsi="方正黑体_GBK" w:eastAsia="方正黑体_GBK" w:cs="方正黑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中小企业公共服务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体系能力提升项目考核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评价指标</w:t>
      </w:r>
    </w:p>
    <w:p>
      <w:pPr>
        <w:pageBreakBefore w:val="0"/>
        <w:kinsoku/>
        <w:wordWrap/>
        <w:topLinePunct w:val="0"/>
        <w:bidi w:val="0"/>
        <w:adjustRightInd/>
        <w:snapToGrid w:val="0"/>
        <w:spacing w:line="600" w:lineRule="exact"/>
        <w:ind w:firstLine="640" w:firstLineChars="200"/>
        <w:rPr>
          <w:rFonts w:hint="eastAsia" w:ascii="仿宋_GB2312" w:hAnsi="方正仿宋" w:eastAsia="仿宋_GB2312" w:cs="方正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" w:hAnsi="方正仿宋" w:eastAsia="方正仿宋" w:cs="方正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中小企业公共服务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体系能力提升项目考核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评价内容包括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服务能力、运营效果以及协同服务情况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根据运营的实际情况，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示范基地类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示范平台类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窗口平台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进行评价。评价实行百分制，满分为100分。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" w:hAnsi="方正仿宋" w:eastAsia="方正仿宋" w:cs="方正仿宋"/>
          <w:b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示范基地类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（一）服务能力（40分）。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信息服务（10分）。服务入驻企业达到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国家级100家次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且开展的相关服务活动达到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国家级6次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的得6分；服务企业数量增加10家次或开展活动增加1场加1分，最高加4分。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创业辅导（10分）。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入驻企业提供创业咨询、创业辅导和培训等服务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入驻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国家级50家次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得6分；服务企业数量增加10家次加1分，最高加4分。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创新支持（10分）。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具备提供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知识产权转化或组织技术服务资源的能力，能够进行研发项目、科研成果和资本等多方对接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年组织技术洽谈会或技术对接会2次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国家级6次以上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得6分；组织技术洽谈会或技术对接会活动增加1场加2分，最高加4分。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人员培训（10分）。</w:t>
      </w:r>
      <w:r>
        <w:rPr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为创业人员、企业经营者、专业技术人员和员工提供各类培训</w:t>
      </w:r>
      <w:r>
        <w:rPr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年培训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100人次（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国家级300人次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）以上得6分，培训人数每增加50人加1分，最高加4分。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市场营销（10分）。组织入驻企业参加各类展览展销、贸易洽谈、产品推介与合作等活动，每次3分，最高6分；组织入驻企业与行业龙头企业的产品对接、合作交流等活动，每次2分，最高4分。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投融资服务（10分）。为入驻企业提供融资信息、组织开展投融资推介和对接等服务。年服务企业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家次（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国家级30家次以上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）或组织融资对接会2场（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国家级4次以上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）得6分；服务企业增加10家次或组织融资对接会增加1场得1分，最高不超过4分。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管理咨询（10分）。为入驻企业提供发展战略、财务管理、人力资源、市场营销等咨询服务，年服务企业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家次以上（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国家级20家次以上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）得6分。服务企业数每增加5家加2分，最高加4分。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专业服务（10分）。为入驻企业提供法律咨询及援助、代理会计、专利申请、审计、评估等服务，年服务企业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家次以上（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国家级20家次以上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）得6分。服务企业数每增加5家加2分，最高加4分。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以上服务能力和次数的要求含基地引入的第三方</w:t>
      </w:r>
      <w:r>
        <w:rPr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专业机构的服务</w:t>
      </w:r>
      <w:r>
        <w:rPr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。各基地</w:t>
      </w:r>
      <w:r>
        <w:rPr>
          <w:rFonts w:hint="eastAsia" w:ascii="方正仿宋" w:hAnsi="方正仿宋" w:eastAsia="方正仿宋" w:cs="方正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取得分最高的前四个功能进行分数加总，</w:t>
      </w:r>
      <w:r>
        <w:rPr>
          <w:rFonts w:hint="eastAsia" w:ascii="方正仿宋" w:hAnsi="方正仿宋" w:eastAsia="方正仿宋" w:cs="方正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所提供的服务功能超过</w:t>
      </w:r>
      <w:r>
        <w:rPr>
          <w:rFonts w:hint="eastAsia" w:ascii="方正仿宋" w:hAnsi="方正仿宋" w:eastAsia="方正仿宋" w:cs="方正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4类的，每超一类且实质性服务超过10家次的，每类加2分，最高加6分。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（二）运营效果（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入驻企业数量（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）。年底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入驻企业数较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上年度净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家得1分，最高得10分。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年度时间以考核时间倒推一年计算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提供入驻企业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协议及名单由第三方机构核查确认。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企业满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意度（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分）。基数为80%，基础分为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分，满意度低于80%不得分。由第三方随机访问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20家（自治区级）或30家（国家级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），用户满意度比上一年度降低5个百分点，扣1分，最低得0分；每增加5个百分点得1分，最高得分不超过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3.营业收入（5分）。营业收入比上年增长10%及以上得5分，小于10%大于或等于5%得4分，大于0小于5%得2分，增长为负数的不得分。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（三）协同服务（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线上服务数据填报（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分）。国家级每月5日前通过全国中小企业服务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跟踪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平台完成上月服务数据填报且每季度第一个月10日前完成众创空间共享平台数据填报得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未及时完成的，一个月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按照相应比例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扣分。通过168平台开展服务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，在线发布活动或者培训预告、报名和总结报送（非补录），每场加1分，最高不超过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2.一起益企、服务月活动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（10分）。实际参与并举办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一起益企、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活动：50人（含）以下场次每场3分；50人以上每场5分，最高10分。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服务补贴券协同开展服务情况（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）。根据上年度服务补贴券工作参与情况评分，通过宣传推广带动入驻企业成功申请补贴券且企业满意的得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分，超过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2家企业且满意的得2分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在线入驻对接情况（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）。通过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众创空间共享平台成功完成企业在线入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驻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申请，每有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家得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分，最高不超过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志愿服务活动开展情况（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）。组织人员参加志愿服务专家团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，参加1人得1分，最高3分；组织或参与工信厅开展或向工信厅报备开展志愿服务活动，每场次得1分，最高3分。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南部山区、乡村振兴重点地区基地可适当倾斜。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示范平台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（一）服务能力（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主营业务外的功能（10分）。除主营业务外，以下平台服务功能中：信息服务、技术服务、创业服务、培训服务、融资服务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、咨询服务、市场服务，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每多具备一项加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分，最高获得10分。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具体服务指标自治区和国家级示范平台分别按照管理办法考核。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服务对接活动开展情况（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分）。举办10家以上服务对接活动，每举办1场得4分，最高得2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分。（注：所有活动必须为免费服务场次，收费活动不计入分数体系）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.自我评估、服务档案及经营总结（5分）。能够根据服务项目制定服务满意度调查表，对服务中小微企业情况进行自我评价得2分；服务台账清晰、资料保存完整、经验总结报送及时，每满足一项得1分，最高不超过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（二）运营效果（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分）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服务中小微企业数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分）。基数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50家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（国家级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150家以上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，基础分为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服务企业户数每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10户（培训类每增加100人次）加2分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，最高加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满意度（10分）。基数80%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国家级85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，基础分6分。每增加5个百分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点加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1分，最高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分不超过4分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低于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基数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不得分；比上一年度降低5个百分点，扣1分，最低得0分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。示范平台提供服务企业名单及上年度服务企业满意度，第三方机构随机抽查不少于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20户进行核算。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3.营业收入（5分）。营业收入比上年增长10%及以上得5分，小于10%大于或等于5%得4分，大于0小于5%得2分，增长为负数的不得分。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（三）协同服务（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线上服务数据填报（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分）。国家级每月5日前通过全国中小企业服务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跟踪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平台完成上月服务数据填报且每季度第一个月10日前完成众创空间共享平台数据填报得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分；未及时完成的，一个月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按照相应比例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扣分。通过168平台开展服务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，在线发布活动或者培训预告、报名和总结报送（非补录），每场加1分，最高不超过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2.一起益企、服务月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活动（10分）。实际参与并举办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一起益企、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活动：50人（含）以下场次每场3分；50人以上每场5分，最高10分。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服务补贴券协同开展服务情况（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）。根据上年度服务补贴券工作参与情况评分，通过补贴券为企业提供过服务的（非营利平台通过宣传推广带动企业申请补贴劵的）且企业满意的，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1家企业得1分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，最高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签约但未提供服务和未签约的不得分。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志愿服务活动开展情况（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）。组织人员参加志愿服务专家团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，参加1人得1分，最高5分；组织或参与工信厅开展或向工信厅报备开展志愿服务活动，每场次得1分，最高5分。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由事业单位、社团法人主办的平台按照管理办法规定相应指标可适当放宽。山区市县的平台可适当倾斜。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三、窗口平台类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（一）需求响应（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与中小企业沟通交流的渠道（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分）。具备热线电话、邮箱、微信、网站、QQ、服务窗口等不同沟通渠道，每建立一种渠道加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分，直到满分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对中小企业实际服务需求的把握（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分）。充分把握企业的基本情况、寻求的服务内容和希望达到的服务质量等，有效掌握企业服务需求并作出回应，每作出一个服务对接的加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5分，直到满分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为止。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通过查看服务台账考核。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服务方案的针对性、可操作性（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分）。及时完成方案的制定加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分；按服务需求制定的方案内容完整（包含名称、服务内容、支持资源、费用预算、时间计划、相关举措、服务目标等），每涉及一个内容要素酌情加分，直到满分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服务收费的科学性、合理性（5分）。服务收费标准制定科学、合理有据并对外公示的，加2.5分；该项服务的公益部分年度占比不低于10%的，加1.5分；针对小型微型企业收费有特殊优惠的酌情加分，直到满分5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（二）服务执行（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服务执行人员的配置（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分）。有服务专家库，能及时发掘并高效组织专家团队的，加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分；安排的执行人员有相应服务经验1年及以上的，加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分；安排的执行人员具有相应执业资格来保障服务需求的（若需要），加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分；其他根据实际情况合理做出人员安排的酌情加分，直到满分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服务场地、设施、设备等物资的调配（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分）。有一定服务场地资源，能及时落实服务所需场地的加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分；有充足服务设备、器材和必要的信息系统等物资，高效配套服务需求的加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分；能合理调配其他所需服务资源的酌情加分，直到满分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服务成本的支出管理（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分）。费用支出规范合理，根据服务需要进行合理支出的，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4.服务方案执行（5分）。按时完成相关服务的加2分；充分利用相关资源推进服务活动，有效实现方案预定目标的加2分；执行过程中根据企业变化的需求，及时调整、优化服务举措并促进服务目标实现的加1分。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（三）质量管控（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1.平台运行情况（5分）。平台全年运行稳定，未发生信息安全事件和全年正常运行的得5分，如发生信息安全事件和无法访问情况不得分。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服务的自评估与企业评价（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分）。根据服务项目制定服务满意度调查表，严格进行服务自评估与企业评价的，加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分；相关服务满意度达到60%不足70%的，加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分；达到70%后每增加10个百分点加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分，直到满分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为止。若第三方抽样评估企业的满意度低于60%的，本指标项目视为0分。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服务工作归档及经验总结（5分）。服务活动形成清晰服务台账的，加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分；服务活动归档完整（包括方案、文件资料、图文音像、客户评价表、活动总结等），每形成一份服务档案加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0.25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分，直到满分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）服务成效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服务项目年度服务企业数量（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分）。年度服务企业达到100家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分；服务企业100家后每增加</w:t>
      </w:r>
      <w:r>
        <w:rPr>
          <w:rFonts w:hint="default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分，最多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4.8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分；服务企业数年度同比增长10%以上的，加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分；每年举办一场以上超过50家中小企业参与的该项服务活动，加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分，直到满分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服务项目服务单一企业频次（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分）。年均单一企业接受该项服务的次数达到1次但未到1.5次的，加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分；年均接受服务达到1.5次但未超过2次的，加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分；年均接受服务超过2次的，每增加一次加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分，直到满分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中小企业获得的服务收益（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分）。企业通过机构提供的服务，满足基本服务需求的，加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协同服务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线上服务数据填报（10分）。每月5日前通过全国中小企业服务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跟踪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平台完成上月服务数据填报且每季度第一个月10日前完成众创空间共享平台数据填报得6分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未及时完成的，一个月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按照相应比例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扣分。积极通过168平台开展服务对接，在线发布活动或者培训预告、报名和总结报送（非补录），每场加1分，最高不超过4分。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168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平台互联互通情况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。各窗口平台能够通过数据接口向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168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平台长期稳定上报数据，并有新增数据的得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分。接口已失效或者无新增数据不得分。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3.其他协同工作开展情况（13分）。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服务补贴券协同开展服务情况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参与服务补贴券工作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分，未参加不加分（未参加包括有签约但无业务量）。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一起益企、服务月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协同开展情况（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实际参与并举办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一起益企、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50人（含）以下场次每场3分；50人以上每场5分，最高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志愿服务活动开展情况（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）：组织人员参加志愿服务专家团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，参加1人得1分，最高2分，组织或参与工信厅开展或向工信厅报备开展志愿服务活动，每场次得1分，最高3分。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由事业单位、社团法人主办的平台参照示范平台相应指标可适当放宽。山区市县的平台可适当倾斜。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41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仿宋_GB2312"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msolistparagraph"/>
    <w:basedOn w:val="1"/>
    <w:qFormat/>
    <w:uiPriority w:val="0"/>
    <w:pPr>
      <w:spacing w:line="240" w:lineRule="atLeast"/>
      <w:ind w:firstLine="420" w:firstLineChars="200"/>
    </w:pPr>
    <w:rPr>
      <w:rFonts w:ascii="Calibri" w:hAnsi="Calibri"/>
      <w:spacing w:val="-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4533</Words>
  <Characters>4749</Characters>
  <Lines>0</Lines>
  <Paragraphs>0</Paragraphs>
  <TotalTime>0</TotalTime>
  <ScaleCrop>false</ScaleCrop>
  <LinksUpToDate>false</LinksUpToDate>
  <CharactersWithSpaces>4751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chen</dc:creator>
  <cp:lastModifiedBy>iPhone</cp:lastModifiedBy>
  <cp:lastPrinted>2022-03-23T09:51:00Z</cp:lastPrinted>
  <dcterms:modified xsi:type="dcterms:W3CDTF">2024-06-10T21:10:10Z</dcterms:modified>
  <dc:title>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2052-12.13.2</vt:lpwstr>
  </property>
  <property fmtid="{D5CDD505-2E9C-101B-9397-08002B2CF9AE}" pid="3" name="ICV">
    <vt:lpwstr>FCE5212589434956877799A633DF11E4_13</vt:lpwstr>
  </property>
</Properties>
</file>