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8"/>
          <w:sz w:val="44"/>
          <w:szCs w:val="44"/>
        </w:rPr>
        <w:t>2022年度安徽省科技创新战略与软科学研究专项项目（第</w:t>
      </w:r>
      <w:r>
        <w:rPr>
          <w:rFonts w:hint="eastAsia" w:eastAsia="方正小标宋_GBK" w:cs="Times New Roman"/>
          <w:b w:val="0"/>
          <w:bCs w:val="0"/>
          <w:spacing w:val="-8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8"/>
          <w:sz w:val="44"/>
          <w:szCs w:val="44"/>
        </w:rPr>
        <w:t>批）清单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tbl>
      <w:tblPr>
        <w:tblStyle w:val="4"/>
        <w:tblW w:w="145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2032"/>
        <w:gridCol w:w="3805"/>
        <w:gridCol w:w="2945"/>
        <w:gridCol w:w="968"/>
        <w:gridCol w:w="900"/>
        <w:gridCol w:w="32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归口管理部门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202206f010500</w:t>
            </w: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安徽省应用场景大市场建设行动方案和空天产业场景工作试点研究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合肥智识新经济研究有限公司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202206f010500</w:t>
            </w: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安徽省开辟发展新领域新赛道打造未来产业高地行动方案研究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安徽省工业和信息化研究院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安徽省经济和信息化厅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202206f010500</w:t>
            </w: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安徽一流区域创新高地建设研究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202206f010500</w:t>
            </w: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安徽省中医药现代化科技发展政策与策略研究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吴德玲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202206f010500</w:t>
            </w: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我省芯片产业应对风险挑战策略研究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合肥市微电子研究院有限公司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朱志国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合肥市科技局</w:t>
            </w:r>
          </w:p>
        </w:tc>
      </w:tr>
    </w:tbl>
    <w:p>
      <w:pPr>
        <w:snapToGrid w:val="0"/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2C82"/>
    <w:rsid w:val="457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2022-12-16T00:53:00Z</dcterms:created>
  <dc:creator>JEssica</dc:creator>
  <cp:lastModifiedBy>JEssica</cp:lastModifiedBy>
  <dcterms:modified xsi:type="dcterms:W3CDTF">2022-12-16T00:53:34Z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