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rPr>
          <w:rFonts w:ascii="Times New Roman" w:hAnsi="Times New Roman"/>
        </w:rPr>
      </w:pPr>
    </w:p>
    <w:p>
      <w:pPr>
        <w:pStyle w:val="3"/>
        <w:spacing w:before="0" w:after="0" w:line="560" w:lineRule="exact"/>
        <w:jc w:val="center"/>
        <w:rPr>
          <w:rStyle w:val="6"/>
          <w:rFonts w:hint="eastAsia" w:ascii="Times New Roman" w:hAnsi="Times New Roman" w:eastAsia="方正小标宋_GBK"/>
          <w:b w:val="0"/>
          <w:bCs/>
          <w:color w:val="000000"/>
          <w:spacing w:val="-17"/>
          <w:kern w:val="0"/>
          <w:lang w:bidi="ar"/>
        </w:rPr>
      </w:pPr>
      <w:r>
        <w:rPr>
          <w:rStyle w:val="6"/>
          <w:rFonts w:hint="eastAsia" w:ascii="Times New Roman" w:hAnsi="Times New Roman" w:eastAsia="方正小标宋_GBK"/>
          <w:b w:val="0"/>
          <w:bCs/>
          <w:color w:val="000000"/>
          <w:spacing w:val="-17"/>
          <w:kern w:val="0"/>
          <w:lang w:bidi="ar"/>
        </w:rPr>
        <w:t>2022年葡萄酒产业</w:t>
      </w:r>
      <w:r>
        <w:rPr>
          <w:rStyle w:val="6"/>
          <w:rFonts w:hint="eastAsia" w:ascii="Times New Roman" w:hAnsi="Times New Roman" w:eastAsia="方正小标宋_GBK"/>
          <w:b w:val="0"/>
          <w:bCs/>
          <w:color w:val="000000"/>
          <w:spacing w:val="-17"/>
          <w:kern w:val="0"/>
          <w:lang w:eastAsia="zh-CN" w:bidi="ar"/>
        </w:rPr>
        <w:t>企业家</w:t>
      </w:r>
      <w:r>
        <w:rPr>
          <w:rStyle w:val="6"/>
          <w:rFonts w:hint="eastAsia" w:ascii="Times New Roman" w:hAnsi="Times New Roman" w:eastAsia="方正小标宋_GBK"/>
          <w:b w:val="0"/>
          <w:bCs/>
          <w:color w:val="000000"/>
          <w:spacing w:val="-17"/>
          <w:kern w:val="0"/>
          <w:lang w:bidi="ar"/>
        </w:rPr>
        <w:t>创新创造意识</w:t>
      </w:r>
    </w:p>
    <w:p>
      <w:pPr>
        <w:pStyle w:val="3"/>
        <w:spacing w:before="0" w:after="0" w:line="560" w:lineRule="exact"/>
        <w:jc w:val="center"/>
        <w:rPr>
          <w:rStyle w:val="6"/>
          <w:rFonts w:hint="eastAsia" w:ascii="Times New Roman" w:hAnsi="Times New Roman" w:eastAsia="方正小标宋_GBK"/>
          <w:b w:val="0"/>
          <w:bCs/>
          <w:color w:val="000000"/>
          <w:spacing w:val="-17"/>
          <w:kern w:val="0"/>
          <w:lang w:bidi="ar"/>
        </w:rPr>
      </w:pPr>
      <w:r>
        <w:rPr>
          <w:rStyle w:val="6"/>
          <w:rFonts w:hint="eastAsia" w:ascii="Times New Roman" w:hAnsi="Times New Roman" w:eastAsia="方正小标宋_GBK"/>
          <w:b w:val="0"/>
          <w:bCs/>
          <w:color w:val="000000"/>
          <w:spacing w:val="-17"/>
          <w:kern w:val="0"/>
          <w:lang w:bidi="ar"/>
        </w:rPr>
        <w:t>培育</w:t>
      </w:r>
      <w:r>
        <w:rPr>
          <w:rStyle w:val="6"/>
          <w:rFonts w:hint="eastAsia" w:ascii="Times New Roman" w:hAnsi="Times New Roman" w:eastAsia="方正小标宋_GBK"/>
          <w:b w:val="0"/>
          <w:bCs/>
          <w:color w:val="000000"/>
          <w:spacing w:val="-17"/>
          <w:kern w:val="0"/>
          <w:lang w:eastAsia="zh-CN" w:bidi="ar"/>
        </w:rPr>
        <w:t>专题</w:t>
      </w:r>
      <w:r>
        <w:rPr>
          <w:rStyle w:val="6"/>
          <w:rFonts w:hint="eastAsia" w:ascii="Times New Roman" w:hAnsi="Times New Roman" w:eastAsia="方正小标宋_GBK"/>
          <w:b w:val="0"/>
          <w:bCs/>
          <w:color w:val="000000"/>
          <w:spacing w:val="-17"/>
          <w:kern w:val="0"/>
          <w:lang w:bidi="ar"/>
        </w:rPr>
        <w:t>培训班课程安排</w:t>
      </w:r>
    </w:p>
    <w:p/>
    <w:tbl>
      <w:tblPr>
        <w:tblStyle w:val="8"/>
        <w:tblW w:w="8884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964"/>
        <w:gridCol w:w="1248"/>
        <w:gridCol w:w="2436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0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6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2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43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233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  <w:lang w:val="en-US" w:eastAsia="zh-CN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exact"/>
          <w:jc w:val="center"/>
        </w:trPr>
        <w:tc>
          <w:tcPr>
            <w:tcW w:w="90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0-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2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马永明</w:t>
            </w:r>
          </w:p>
        </w:tc>
        <w:tc>
          <w:tcPr>
            <w:tcW w:w="243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宁夏贺兰山东麓葡萄酒教育学院院长</w:t>
            </w:r>
          </w:p>
        </w:tc>
        <w:tc>
          <w:tcPr>
            <w:tcW w:w="233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宁夏贺兰山东麓的优势与自信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exact"/>
          <w:jc w:val="center"/>
        </w:trPr>
        <w:tc>
          <w:tcPr>
            <w:tcW w:w="90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0-1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2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张军翔</w:t>
            </w:r>
          </w:p>
        </w:tc>
        <w:tc>
          <w:tcPr>
            <w:tcW w:w="243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宁夏大学食品与葡萄酒学院副院长</w:t>
            </w:r>
          </w:p>
        </w:tc>
        <w:tc>
          <w:tcPr>
            <w:tcW w:w="233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葡萄酒新产品开发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  <w:jc w:val="center"/>
        </w:trPr>
        <w:tc>
          <w:tcPr>
            <w:tcW w:w="90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6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0-1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2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苏宝峰</w:t>
            </w:r>
          </w:p>
        </w:tc>
        <w:tc>
          <w:tcPr>
            <w:tcW w:w="243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西北农林科技大学机械与电子工程学院副教授</w:t>
            </w:r>
          </w:p>
        </w:tc>
        <w:tc>
          <w:tcPr>
            <w:tcW w:w="233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三产融合背景下葡萄和葡萄酒全生产链智慧化建设的思考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exact"/>
          <w:jc w:val="center"/>
        </w:trPr>
        <w:tc>
          <w:tcPr>
            <w:tcW w:w="90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6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0-1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2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穆海彬</w:t>
            </w:r>
          </w:p>
        </w:tc>
        <w:tc>
          <w:tcPr>
            <w:tcW w:w="243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宁夏贺兰山东麓葡萄产业园区管理委员会技术服务处处长</w:t>
            </w:r>
          </w:p>
        </w:tc>
        <w:tc>
          <w:tcPr>
            <w:tcW w:w="233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自治区葡萄酒产业科技创新及人才政策解读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Style w:val="6"/>
          <w:rFonts w:ascii="Times New Roman" w:hAnsi="Times New Roman" w:eastAsia="方正小标宋简体"/>
          <w:b w:val="0"/>
          <w:color w:val="000000"/>
          <w:kern w:val="0"/>
          <w:sz w:val="28"/>
          <w:szCs w:val="28"/>
          <w:lang w:bidi="ar"/>
        </w:rPr>
      </w:pPr>
    </w:p>
    <w:p>
      <w:pPr>
        <w:pStyle w:val="3"/>
        <w:spacing w:before="0" w:after="0" w:line="560" w:lineRule="exact"/>
      </w:pPr>
      <w:r>
        <w:rPr>
          <w:rFonts w:ascii="Times New Roman" w:hAnsi="Times New Roman" w:eastAsia="黑体"/>
          <w:sz w:val="32"/>
          <w:szCs w:val="32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2413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2022-07-27T02:32:04Z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