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r>
        <w:rPr>
          <w:rStyle w:val="5"/>
          <w:sz w:val="28"/>
          <w:szCs w:val="28"/>
        </w:rPr>
        <w:t>推进创新型省份建设、构建完善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5"/>
          <w:sz w:val="28"/>
          <w:szCs w:val="28"/>
        </w:rPr>
        <w:t>创新发展支撑体系评价指标</w:t>
      </w:r>
      <w:bookmarkEnd w:id="0"/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5891"/>
        <w:gridCol w:w="1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一级指标</w:t>
            </w:r>
          </w:p>
        </w:tc>
        <w:tc>
          <w:tcPr>
            <w:tcW w:w="5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二级指标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创新投入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全社会研发（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R&amp;D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）经费支出占地区生产总值（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GDP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）的比重（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全社会研发（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R&amp;D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）经费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科技公共财政支出占公共财政支出的比重（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创新产出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高新技术企业数（静态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动态）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技术合同成交额与地区生产总值之比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规模以上工业企业中有研发活动企业占比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创新平台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国家级（省级）重点实验室、工程技术研究中心和省实验室、省技术创新中心、国家级（省级）国际科技合作基地数量及绩效评价（评估）优秀数量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国家级（省级）高新区、国家农业科技园区、省级农业科技园区、国家火炬特色产业基地、国家级（省级）科技企业孵化器、大学科技园、众创空间（含星创天地）数量（个）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政策环境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党委政府出台实施创新驱动发展战略的决定或意见及配套政策，如文件数量及实施效果等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特色工作，如形成一批高端人才、引领型企业、优势产业，形成富有活力的政策环境和尊重知识、尊重人才、注重创新的社会氛围，创新发展水平和创新特色优势获得全国其他省份和社会的普遍认可。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加分项</w:t>
            </w:r>
          </w:p>
        </w:tc>
        <w:tc>
          <w:tcPr>
            <w:tcW w:w="5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创新驱动发展方面受到以党中央、国务院等部门名义发文通报表扬的每项加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分，受到以省委、省政府等部门名义发文通报表扬的每项加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分，同一事项表扬不重复加分，累计加分不超过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75E7"/>
    <w:rsid w:val="068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2022-04-29T07:33:00Z</dcterms:created>
  <dc:creator>qiuchengcai</dc:creator>
  <cp:lastModifiedBy>qiuchengcai</cp:lastModifiedBy>
  <dcterms:modified xsi:type="dcterms:W3CDTF">2022-04-29T07:34:14Z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89A6EDD4A9AC47129B41B14D53E1353B</vt:lpwstr>
  </property>
</Properties>
</file>