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rPr>
          <w:rFonts w:ascii="CESI黑体-GB2312" w:hAnsi="CESI黑体-GB2312" w:eastAsia="CESI黑体-GB2312" w:cs="CESI黑体-GB2312"/>
        </w:rPr>
      </w:pPr>
      <w:r>
        <w:rPr>
          <w:rFonts w:hint="eastAsia" w:ascii="CESI黑体-GB2312" w:hAnsi="CESI黑体-GB2312" w:eastAsia="CESI黑体-GB2312" w:cs="CESI黑体-GB2312"/>
        </w:rPr>
        <w:t>附件</w:t>
      </w:r>
      <w:r>
        <w:rPr>
          <w:rFonts w:ascii="CESI黑体-GB2312" w:hAnsi="CESI黑体-GB2312" w:eastAsia="CESI黑体-GB2312" w:cs="CESI黑体-GB2312"/>
          <w:lang w:val="en"/>
        </w:rPr>
        <w:t>1</w:t>
      </w:r>
      <w:r>
        <w:rPr>
          <w:rFonts w:hint="eastAsia" w:ascii="CESI黑体-GB2312" w:hAnsi="CESI黑体-GB2312" w:eastAsia="CESI黑体-GB2312" w:cs="CESI黑体-GB2312"/>
        </w:rPr>
        <w:t>：</w:t>
      </w:r>
    </w:p>
    <w:p>
      <w:pPr>
        <w:spacing w:after="312" w:afterLines="10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培训课程安排</w:t>
      </w:r>
    </w:p>
    <w:tbl>
      <w:tblPr>
        <w:tblStyle w:val="5"/>
        <w:tblW w:w="9015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60"/>
        <w:gridCol w:w="2836"/>
        <w:gridCol w:w="3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日  期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时  间</w:t>
            </w:r>
          </w:p>
        </w:tc>
        <w:tc>
          <w:tcPr>
            <w:tcW w:w="2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上课内容</w:t>
            </w:r>
          </w:p>
        </w:tc>
        <w:tc>
          <w:tcPr>
            <w:tcW w:w="34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12月1日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开班仪式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线上开班仪式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技术经纪人与经纪实务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成晓建/上海科学技术交流中心成果转化处处长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下午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技术合同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孟琦/上海师范大学科技处副处长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12月2日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上午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技术需求甄别与分析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赖奕坚/绿丞（上海）实业有限公司副总经理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下午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知识产权及保护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王勉青/上海大学知识产权学院副教授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12月3日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星期五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上午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科技成果标准化评价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"/>
              </w:rPr>
              <w:t>何小敏/中关村巨价值科技评价研究院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下午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科技成果转化政策解读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杨浩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/宁夏科技厅成果转化与科技服务处处长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自治区技术交易</w:t>
            </w: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" w:eastAsia="zh-CN"/>
              </w:rPr>
              <w:t>补助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政策解读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冯艳清/宁夏生产力促进中心知识产权部助理研究员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自治区科技金融政策解读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杨阳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/宁夏生产力促进中心科技金融部部长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自治区科技成果评价与登记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马晓英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/宁夏科技发展和信息研究所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考试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线上考试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DejaVu Sans Mono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608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uiPriority w:val="0"/>
    <w:pPr>
      <w:ind w:left="420"/>
    </w:pPr>
    <w:rPr>
      <w:rFonts w:ascii="仿宋_GB2312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2021-11-29T01:41:20Z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