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3</w:t>
      </w:r>
    </w:p>
    <w:p>
      <w:pPr>
        <w:spacing w:before="156"/>
        <w:jc w:val="left"/>
        <w:rPr>
          <w:rFonts w:hint="eastAsia" w:ascii="方正小标宋_GBK" w:hAnsi="方正小标宋_GBK" w:eastAsia="方正小标宋_GBK" w:cs="方正小标宋_GBK"/>
          <w:b w:val="0"/>
          <w:bCs w:val="0"/>
          <w:color w:val="000000"/>
          <w:sz w:val="32"/>
          <w:szCs w:val="32"/>
          <w:lang w:eastAsia="zh-CN"/>
        </w:rPr>
      </w:pPr>
    </w:p>
    <w:p>
      <w:pPr>
        <w:spacing w:before="156"/>
        <w:jc w:val="center"/>
        <w:rPr>
          <w:rFonts w:hint="eastAsia" w:ascii="方正小标宋_GBK" w:hAnsi="方正小标宋_GBK" w:eastAsia="方正小标宋_GBK" w:cs="方正小标宋_GBK"/>
          <w:b w:val="0"/>
          <w:bCs w:val="0"/>
          <w:sz w:val="32"/>
          <w:szCs w:val="32"/>
        </w:rPr>
      </w:pPr>
      <w:r>
        <w:rPr>
          <w:rFonts w:hint="eastAsia" w:ascii="方正小标宋_GBK" w:hAnsi="方正小标宋_GBK" w:eastAsia="方正小标宋_GBK" w:cs="方正小标宋_GBK"/>
          <w:b w:val="0"/>
          <w:bCs w:val="0"/>
          <w:color w:val="000000"/>
          <w:sz w:val="32"/>
          <w:szCs w:val="32"/>
          <w:lang w:eastAsia="zh-CN"/>
        </w:rPr>
        <w:t>工程技术研究中心绩效评估自评报告</w:t>
      </w:r>
      <w:r>
        <w:rPr>
          <w:rFonts w:hint="eastAsia" w:ascii="方正小标宋_GBK" w:hAnsi="方正小标宋_GBK" w:eastAsia="方正小标宋_GBK" w:cs="方正小标宋_GBK"/>
          <w:b w:val="0"/>
          <w:bCs w:val="0"/>
          <w:sz w:val="32"/>
          <w:szCs w:val="32"/>
        </w:rPr>
        <w:t>编写提纲</w:t>
      </w:r>
    </w:p>
    <w:p>
      <w:pPr>
        <w:keepNext/>
        <w:keepLines/>
        <w:numPr>
          <w:ilvl w:val="0"/>
          <w:numId w:val="0"/>
        </w:numPr>
        <w:spacing w:line="560" w:lineRule="exact"/>
        <w:outlineLvl w:val="0"/>
        <w:rPr>
          <w:rFonts w:hint="eastAsia" w:eastAsia="黑体"/>
          <w:bCs/>
          <w:kern w:val="44"/>
          <w:sz w:val="30"/>
          <w:szCs w:val="30"/>
          <w:lang w:eastAsia="zh-CN"/>
        </w:rPr>
      </w:pPr>
      <w:r>
        <w:rPr>
          <w:rFonts w:hint="eastAsia" w:eastAsia="黑体"/>
          <w:bCs/>
          <w:kern w:val="44"/>
          <w:sz w:val="30"/>
          <w:szCs w:val="30"/>
          <w:lang w:eastAsia="zh-CN"/>
        </w:rPr>
        <w:t>　　</w:t>
      </w:r>
    </w:p>
    <w:p>
      <w:pPr>
        <w:keepNext/>
        <w:keepLines/>
        <w:numPr>
          <w:ilvl w:val="0"/>
          <w:numId w:val="0"/>
        </w:numPr>
        <w:spacing w:line="560" w:lineRule="exact"/>
        <w:outlineLvl w:val="0"/>
        <w:rPr>
          <w:rFonts w:hint="eastAsia" w:eastAsia="黑体"/>
          <w:bCs/>
          <w:kern w:val="44"/>
          <w:sz w:val="30"/>
          <w:szCs w:val="30"/>
        </w:rPr>
      </w:pPr>
      <w:r>
        <w:rPr>
          <w:rFonts w:hint="eastAsia" w:eastAsia="黑体"/>
          <w:bCs/>
          <w:kern w:val="44"/>
          <w:sz w:val="30"/>
          <w:szCs w:val="30"/>
          <w:lang w:eastAsia="zh-CN"/>
        </w:rPr>
        <w:t>　　一、</w:t>
      </w:r>
      <w:r>
        <w:rPr>
          <w:rFonts w:hint="eastAsia" w:eastAsia="黑体"/>
          <w:bCs/>
          <w:kern w:val="44"/>
          <w:sz w:val="30"/>
          <w:szCs w:val="30"/>
        </w:rPr>
        <w:t>总体定位及研究方向</w:t>
      </w:r>
    </w:p>
    <w:p>
      <w:pPr>
        <w:keepNext/>
        <w:keepLines/>
        <w:spacing w:line="560" w:lineRule="exact"/>
        <w:ind w:firstLine="560"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总体定位、研究方向；自我评估中心研究方向和工作能否支撑中心定位。</w:t>
      </w:r>
    </w:p>
    <w:p>
      <w:pPr>
        <w:keepNext/>
        <w:keepLines/>
        <w:spacing w:line="560" w:lineRule="exact"/>
        <w:ind w:firstLine="600" w:firstLineChars="200"/>
        <w:outlineLvl w:val="0"/>
        <w:rPr>
          <w:rFonts w:hint="eastAsia" w:eastAsia="黑体"/>
          <w:bCs/>
          <w:kern w:val="44"/>
          <w:sz w:val="30"/>
          <w:szCs w:val="30"/>
        </w:rPr>
      </w:pPr>
      <w:r>
        <w:rPr>
          <w:rFonts w:hint="eastAsia" w:eastAsia="黑体"/>
          <w:bCs/>
          <w:kern w:val="44"/>
          <w:sz w:val="30"/>
          <w:szCs w:val="30"/>
        </w:rPr>
        <w:t>二、运行管理</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中心规章制度建设和执行效果；工程技术委员会作用；依托单位在管理和提供条件及经费保障等方面的支持情况。</w:t>
      </w:r>
    </w:p>
    <w:p>
      <w:pPr>
        <w:spacing w:line="560" w:lineRule="exact"/>
        <w:ind w:firstLine="600" w:firstLineChars="200"/>
        <w:rPr>
          <w:rFonts w:hint="eastAsia" w:eastAsia="黑体"/>
          <w:bCs/>
          <w:color w:val="000000"/>
          <w:kern w:val="44"/>
          <w:sz w:val="30"/>
          <w:szCs w:val="30"/>
        </w:rPr>
      </w:pPr>
      <w:r>
        <w:rPr>
          <w:rFonts w:hint="eastAsia" w:eastAsia="黑体"/>
          <w:bCs/>
          <w:color w:val="000000"/>
          <w:kern w:val="44"/>
          <w:sz w:val="30"/>
          <w:szCs w:val="30"/>
        </w:rPr>
        <w:t>三、开放交流</w:t>
      </w:r>
    </w:p>
    <w:p>
      <w:pPr>
        <w:spacing w:line="560" w:lineRule="exact"/>
        <w:ind w:firstLine="560" w:firstLineChars="200"/>
        <w:rPr>
          <w:rFonts w:hint="eastAsia" w:eastAsia="黑体"/>
          <w:bCs/>
          <w:color w:val="000000"/>
          <w:kern w:val="44"/>
          <w:sz w:val="30"/>
          <w:szCs w:val="30"/>
        </w:rPr>
      </w:pPr>
      <w:r>
        <w:rPr>
          <w:rFonts w:hint="eastAsia" w:ascii="仿宋_GB2312" w:hAnsi="仿宋_GB2312" w:eastAsia="仿宋_GB2312" w:cs="仿宋_GB2312"/>
          <w:sz w:val="28"/>
          <w:szCs w:val="28"/>
        </w:rPr>
        <w:t>设施、设备对外开放情况和效果，进入自治区大仪网的设备使用效果；人员交流情况与效果；承担外单位委托合作项目的情况和效果、为企业提供技术指导服务的效果；学术交流情况和效果。</w:t>
      </w:r>
    </w:p>
    <w:p>
      <w:pPr>
        <w:spacing w:line="540" w:lineRule="exact"/>
        <w:ind w:firstLine="600" w:firstLineChars="200"/>
        <w:rPr>
          <w:rFonts w:hint="eastAsia" w:eastAsia="黑体"/>
          <w:bCs/>
          <w:color w:val="000000"/>
          <w:kern w:val="44"/>
          <w:sz w:val="30"/>
          <w:szCs w:val="30"/>
        </w:rPr>
      </w:pPr>
      <w:r>
        <w:rPr>
          <w:rFonts w:hint="eastAsia" w:eastAsia="黑体"/>
          <w:bCs/>
          <w:color w:val="000000"/>
          <w:kern w:val="44"/>
          <w:sz w:val="30"/>
          <w:szCs w:val="30"/>
        </w:rPr>
        <w:t>四、条件建设</w:t>
      </w:r>
    </w:p>
    <w:p>
      <w:pPr>
        <w:spacing w:line="560" w:lineRule="exact"/>
        <w:ind w:firstLine="560" w:firstLineChars="200"/>
        <w:rPr>
          <w:rFonts w:ascii="仿宋_GB2312" w:hAnsi="仿宋_GB2312" w:eastAsia="仿宋_GB2312" w:cs="仿宋_GB2312"/>
          <w:color w:val="00B0F0"/>
          <w:sz w:val="28"/>
          <w:szCs w:val="28"/>
        </w:rPr>
      </w:pPr>
      <w:r>
        <w:rPr>
          <w:rFonts w:hint="eastAsia" w:ascii="仿宋_GB2312" w:hAnsi="仿宋_GB2312" w:eastAsia="仿宋_GB2312" w:cs="仿宋_GB2312"/>
          <w:sz w:val="28"/>
          <w:szCs w:val="28"/>
        </w:rPr>
        <w:t>仪器设备及装置的配套性、先进性、适用性，满足研发试验条件的程度等情况；人才队伍结构是否合理；中心主任、科技骨干作用和影响；人才培养及人才团队建设情况。</w:t>
      </w:r>
    </w:p>
    <w:p>
      <w:pPr>
        <w:spacing w:line="540" w:lineRule="exact"/>
        <w:ind w:firstLine="600" w:firstLineChars="200"/>
        <w:rPr>
          <w:rFonts w:hint="eastAsia" w:ascii="仿宋" w:hAnsi="仿宋" w:eastAsia="仿宋"/>
          <w:b/>
          <w:sz w:val="28"/>
        </w:rPr>
      </w:pPr>
      <w:r>
        <w:rPr>
          <w:rFonts w:hint="eastAsia" w:eastAsia="黑体"/>
          <w:bCs/>
          <w:color w:val="000000"/>
          <w:kern w:val="44"/>
          <w:sz w:val="30"/>
          <w:szCs w:val="30"/>
        </w:rPr>
        <w:t>五、技术创新水平与效果</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开展科学研究和技术开发的基本情况，并选择若干项具有代表性的科技成果，从成果的创新性、先进性、成熟性等方面进行自我</w:t>
      </w:r>
      <w:r>
        <w:rPr>
          <w:rFonts w:hint="eastAsia" w:ascii="仿宋_GB2312" w:hAnsi="仿宋_GB2312" w:eastAsia="仿宋_GB2312" w:cs="仿宋_GB2312"/>
          <w:sz w:val="28"/>
          <w:szCs w:val="28"/>
          <w:lang w:eastAsia="zh-CN"/>
        </w:rPr>
        <w:t>评估</w:t>
      </w:r>
      <w:r>
        <w:rPr>
          <w:rFonts w:hint="eastAsia" w:ascii="仿宋_GB2312" w:hAnsi="仿宋_GB2312" w:eastAsia="仿宋_GB2312" w:cs="仿宋_GB2312"/>
          <w:sz w:val="28"/>
          <w:szCs w:val="28"/>
        </w:rPr>
        <w:t>中心的科技创新技术水平；从技术成果的转移、转让、推广、应用的范围和规模（数量、交易额、收入额），结合典型案例反映成果转化的效果；技术成果推广对推动本中心发展和带动行业技术进步的影响和作用等情况。</w:t>
      </w:r>
    </w:p>
    <w:p>
      <w:pPr>
        <w:spacing w:line="560" w:lineRule="exact"/>
        <w:ind w:firstLine="560" w:firstLineChars="200"/>
        <w:rPr>
          <w:rFonts w:hint="eastAsia" w:ascii="仿宋" w:hAnsi="仿宋" w:eastAsia="仿宋"/>
          <w:sz w:val="24"/>
        </w:rPr>
      </w:pPr>
      <w:r>
        <w:rPr>
          <w:rFonts w:hint="eastAsia" w:ascii="仿宋_GB2312" w:hAnsi="仿宋_GB2312" w:eastAsia="仿宋_GB2312" w:cs="仿宋_GB2312"/>
          <w:sz w:val="28"/>
          <w:szCs w:val="28"/>
        </w:rPr>
        <w:t xml:space="preserve"> </w:t>
      </w:r>
      <w:r>
        <w:rPr>
          <w:rFonts w:hint="eastAsia" w:eastAsia="黑体"/>
          <w:bCs/>
          <w:color w:val="000000"/>
          <w:kern w:val="44"/>
          <w:sz w:val="30"/>
          <w:szCs w:val="30"/>
        </w:rPr>
        <w:t>六、问题建议</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中心发展中存在的主要问题与建议。</w:t>
      </w:r>
    </w:p>
    <w:p>
      <w:pPr>
        <w:spacing w:line="560" w:lineRule="exact"/>
        <w:rPr>
          <w:rFonts w:hint="eastAsia" w:eastAsia="黑体"/>
          <w:bCs/>
          <w:kern w:val="44"/>
          <w:sz w:val="30"/>
          <w:szCs w:val="30"/>
        </w:rPr>
      </w:pPr>
    </w:p>
    <w:p>
      <w:pPr>
        <w:spacing w:line="560" w:lineRule="exact"/>
        <w:rPr>
          <w:rFonts w:hint="eastAsia" w:eastAsia="黑体"/>
          <w:bCs/>
          <w:kern w:val="44"/>
          <w:sz w:val="30"/>
          <w:szCs w:val="30"/>
        </w:rPr>
      </w:pPr>
      <w:r>
        <w:rPr>
          <w:rFonts w:hint="eastAsia" w:eastAsia="黑体"/>
          <w:bCs/>
          <w:kern w:val="44"/>
          <w:sz w:val="30"/>
          <w:szCs w:val="30"/>
          <w:lang w:eastAsia="zh-CN"/>
        </w:rPr>
        <w:t>　　</w:t>
      </w:r>
      <w:r>
        <w:rPr>
          <w:rFonts w:hint="eastAsia" w:eastAsia="黑体"/>
          <w:bCs/>
          <w:kern w:val="44"/>
          <w:sz w:val="30"/>
          <w:szCs w:val="30"/>
        </w:rPr>
        <w:t>附件材料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1.成果。包括附论文清单（高质量论文不超过10篇，注清作者、发表时间、发表期刊等信息）、授权发明专利、获得优秀科技成果奖等。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　　2.提供产学研合作合同；技术合同、成果转化和应用推广等证明材料。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4AABE"/>
    <w:multiLevelType w:val="multilevel"/>
    <w:tmpl w:val="5F34AABE"/>
    <w:lvl w:ilvl="0" w:tentative="0">
      <w:start w:val="1"/>
      <w:numFmt w:val="decimal"/>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1">
    <w:nsid w:val="5F34ABF6"/>
    <w:multiLevelType w:val="multilevel"/>
    <w:tmpl w:val="5F34ABF6"/>
    <w:lvl w:ilvl="0" w:tentative="0">
      <w:start w:val="1"/>
      <w:numFmt w:val="none"/>
      <w:pStyle w:val="2"/>
      <w:suff w:val="space"/>
      <w:lvlText w:val="第一部分"/>
      <w:lvlJc w:val="left"/>
      <w:pPr>
        <w:tabs>
          <w:tab w:val="left" w:pos="420"/>
        </w:tabs>
        <w:ind w:left="420" w:hanging="420"/>
      </w:pPr>
      <w:rPr>
        <w:rFonts w:hint="default" w:ascii="宋体" w:hAnsi="宋体" w:eastAsia="方正小标宋_GBK"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3B431E"/>
    <w:rsid w:val="430567E7"/>
    <w:rsid w:val="486C18C0"/>
    <w:rsid w:val="5E9043D8"/>
    <w:rsid w:val="7BAC1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numPr>
        <w:ilvl w:val="0"/>
        <w:numId w:val="1"/>
      </w:numPr>
      <w:spacing w:before="340" w:after="330" w:line="578" w:lineRule="auto"/>
      <w:ind w:left="432" w:hanging="432"/>
      <w:jc w:val="center"/>
      <w:outlineLvl w:val="0"/>
    </w:pPr>
    <w:rPr>
      <w:rFonts w:eastAsia="方正小标宋_GBK" w:cs="Times New Roman"/>
      <w:kern w:val="44"/>
      <w:sz w:val="44"/>
      <w:szCs w:val="44"/>
    </w:rPr>
  </w:style>
  <w:style w:type="paragraph" w:styleId="3">
    <w:name w:val="heading 2"/>
    <w:basedOn w:val="1"/>
    <w:next w:val="1"/>
    <w:unhideWhenUsed/>
    <w:qFormat/>
    <w:uiPriority w:val="0"/>
    <w:pPr>
      <w:keepNext/>
      <w:keepLines/>
      <w:numPr>
        <w:ilvl w:val="1"/>
        <w:numId w:val="2"/>
      </w:numPr>
      <w:spacing w:before="260" w:beforeLines="0" w:beforeAutospacing="0" w:after="260" w:afterLines="0" w:afterAutospacing="0" w:line="413" w:lineRule="auto"/>
      <w:ind w:left="575" w:hanging="575"/>
      <w:outlineLvl w:val="1"/>
    </w:pPr>
    <w:rPr>
      <w:rFonts w:ascii="Arial" w:hAnsi="Arial" w:eastAsia="黑体"/>
      <w:sz w:val="32"/>
    </w:rPr>
  </w:style>
  <w:style w:type="paragraph" w:styleId="4">
    <w:name w:val="heading 3"/>
    <w:basedOn w:val="1"/>
    <w:next w:val="1"/>
    <w:unhideWhenUsed/>
    <w:qFormat/>
    <w:uiPriority w:val="0"/>
    <w:pPr>
      <w:keepNext/>
      <w:keepLines/>
      <w:numPr>
        <w:ilvl w:val="2"/>
        <w:numId w:val="2"/>
      </w:numPr>
      <w:spacing w:before="260" w:beforeLines="0" w:beforeAutospacing="0" w:after="260" w:afterLines="0" w:afterAutospacing="0" w:line="413" w:lineRule="auto"/>
      <w:ind w:left="720" w:hanging="720"/>
      <w:outlineLvl w:val="2"/>
    </w:pPr>
    <w:rPr>
      <w:sz w:val="32"/>
    </w:rPr>
  </w:style>
  <w:style w:type="paragraph" w:styleId="5">
    <w:name w:val="heading 4"/>
    <w:basedOn w:val="1"/>
    <w:next w:val="1"/>
    <w:unhideWhenUsed/>
    <w:qFormat/>
    <w:uiPriority w:val="0"/>
    <w:pPr>
      <w:keepNext/>
      <w:keepLines/>
      <w:numPr>
        <w:ilvl w:val="3"/>
        <w:numId w:val="2"/>
      </w:numPr>
      <w:spacing w:before="280" w:beforeLines="0" w:beforeAutospacing="0" w:after="290" w:afterLines="0" w:afterAutospacing="0" w:line="372" w:lineRule="auto"/>
      <w:ind w:left="864" w:hanging="864"/>
      <w:outlineLvl w:val="3"/>
    </w:pPr>
    <w:rPr>
      <w:rFonts w:ascii="Arial" w:hAnsi="Arial" w:eastAsia="黑体"/>
      <w:sz w:val="28"/>
    </w:rPr>
  </w:style>
  <w:style w:type="paragraph" w:styleId="6">
    <w:name w:val="heading 5"/>
    <w:basedOn w:val="1"/>
    <w:next w:val="1"/>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sz w:val="28"/>
    </w:rPr>
  </w:style>
  <w:style w:type="paragraph" w:styleId="7">
    <w:name w:val="heading 6"/>
    <w:basedOn w:val="1"/>
    <w:next w:val="1"/>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sz w:val="24"/>
    </w:rPr>
  </w:style>
  <w:style w:type="paragraph" w:styleId="8">
    <w:name w:val="heading 7"/>
    <w:basedOn w:val="1"/>
    <w:next w:val="1"/>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sz w:val="24"/>
    </w:rPr>
  </w:style>
  <w:style w:type="paragraph" w:styleId="9">
    <w:name w:val="heading 8"/>
    <w:basedOn w:val="1"/>
    <w:next w:val="1"/>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1">
    <w:name w:val="Default Paragraph Font"/>
    <w:unhideWhenUsed/>
    <w:qFormat/>
    <w:uiPriority w:val="1"/>
  </w:style>
  <w:style w:type="table" w:default="1" w:styleId="12">
    <w:name w:val="Normal Table"/>
    <w:semiHidden/>
    <w:uiPriority w:val="0"/>
    <w:tblPr>
      <w:tblLayout w:type="fixed"/>
      <w:tblCellMar>
        <w:top w:w="0" w:type="dxa"/>
        <w:left w:w="108" w:type="dxa"/>
        <w:bottom w:w="0" w:type="dxa"/>
        <w:right w:w="108" w:type="dxa"/>
      </w:tblCellMar>
    </w:tblPr>
  </w:style>
  <w:style w:type="character" w:customStyle="1" w:styleId="13">
    <w:name w:val="标题 1 字符"/>
    <w:basedOn w:val="11"/>
    <w:link w:val="2"/>
    <w:qFormat/>
    <w:uiPriority w:val="9"/>
    <w:rPr>
      <w:rFonts w:ascii="Calibri" w:hAnsi="Calibri" w:eastAsia="方正小标宋_GBK" w:cs="Times New Roman"/>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迷雾中的幻城</cp:lastModifiedBy>
  <dcterms:modified xsi:type="dcterms:W3CDTF">2021-10-13T01:26:15Z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