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before="0" w:beforeAutospacing="0" w:after="0" w:afterAutospacing="0" w:line="360" w:lineRule="auto"/>
        <w:ind w:firstLine="0" w:firstLineChars="0"/>
        <w:jc w:val="both"/>
        <w:rPr>
          <w:rFonts w:hint="eastAsia" w:ascii="仿宋_GB2312" w:hAnsi="仿宋_GB2312" w:cs="仿宋_GB2312"/>
          <w:sz w:val="32"/>
          <w:szCs w:val="32"/>
          <w:lang w:eastAsia="zh-CN"/>
        </w:rPr>
      </w:pPr>
      <w:r>
        <w:rPr>
          <w:rFonts w:hint="eastAsia" w:ascii="仿宋_GB2312" w:hAnsi="仿宋_GB2312" w:cs="仿宋_GB2312"/>
          <w:sz w:val="32"/>
          <w:szCs w:val="32"/>
          <w:lang w:eastAsia="zh-CN"/>
        </w:rPr>
        <w:t>附件：</w:t>
      </w:r>
    </w:p>
    <w:tbl>
      <w:tblPr>
        <w:tblStyle w:val="15"/>
        <w:tblW w:w="131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2"/>
        <w:gridCol w:w="4530"/>
        <w:gridCol w:w="1066"/>
        <w:gridCol w:w="2015"/>
        <w:gridCol w:w="4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00" w:hRule="atLeast"/>
        </w:trPr>
        <w:tc>
          <w:tcPr>
            <w:tcW w:w="131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8"/>
                <w:szCs w:val="48"/>
                <w:u w:val="none"/>
              </w:rPr>
            </w:pPr>
            <w:r>
              <w:rPr>
                <w:rFonts w:hint="eastAsia" w:ascii="宋体" w:hAnsi="宋体" w:eastAsia="宋体" w:cs="宋体"/>
                <w:b/>
                <w:i w:val="0"/>
                <w:color w:val="000000"/>
                <w:kern w:val="0"/>
                <w:sz w:val="48"/>
                <w:szCs w:val="48"/>
                <w:u w:val="none"/>
                <w:lang w:val="en-US" w:eastAsia="zh-CN" w:bidi="ar"/>
              </w:rPr>
              <w:t>2021年自治区技术创新需求汇总表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5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序号</w:t>
            </w:r>
          </w:p>
        </w:tc>
        <w:tc>
          <w:tcPr>
            <w:tcW w:w="4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需求名称</w:t>
            </w:r>
          </w:p>
        </w:tc>
        <w:tc>
          <w:tcPr>
            <w:tcW w:w="3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所属行业</w:t>
            </w:r>
          </w:p>
        </w:tc>
        <w:tc>
          <w:tcPr>
            <w:tcW w:w="49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产学研合作要求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8"/>
                <w:szCs w:val="28"/>
                <w:u w:val="none"/>
              </w:rPr>
            </w:pPr>
          </w:p>
        </w:tc>
        <w:tc>
          <w:tcPr>
            <w:tcW w:w="4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8"/>
                <w:szCs w:val="28"/>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一级</w:t>
            </w:r>
          </w:p>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二级领域</w:t>
            </w:r>
          </w:p>
        </w:tc>
        <w:tc>
          <w:tcPr>
            <w:tcW w:w="49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宁夏六盘山区食用菌产业大数据服务平台研发项目</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电子信息</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希望与软件信息技术实力较强的高校或软件信息技术研究院开展产学研合作。专家及团队所属领域以软件信息技术及大数据信息技术为主，具有高级软件工程师水平。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城乡供水大数据价值挖掘与应用研究</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电子信息</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希望与高校、科研院所开展产学研合作。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智慧农业感知设备校准以及农业种植数据支持</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电子信息</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宁夏农科院所合作，获得农科院对我们农业分析仪设备的校准支持，以及获得农科院对宁夏土壤土情况、常见作物病虫害防治、常见作物种植方法、常见作物生长因素等基础数据的支持，共同建立农业种植数据库，共享数据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燃气体积修正仪校准装置的研制</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高技术服务</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合作对象需有着资深的热工仪器仪表生产能力，熟悉流量、压力、温度量值溯源传递系统表，并有相关或相近研发案例。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塑料花艺自动化加工技术</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先进（装备）制造与自动化</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规模养殖泌乳牛智能精准配料系统及设备的研发与应用</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先进（装备）制造与自动化</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华中科技大学等其他高校院所。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高效、多级离心式洗煤技术</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新材料</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型煤烘干工序高效、环保型热风输送系统</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新材料</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3万吨50%单氰胺技改升级项目</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新材料</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高等化工院校、科研院所等。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回转氮化炉结壁问题解决方法</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新材料</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公司希望可以与高等化工院校、科研院所等展开合作，共同探讨石灰氮回转窑频繁结壁问题。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单氰胺生产中工业废渣的利用回收研究</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新材料</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公司希望能够与有实力的科研机构合作，共同解决单氰胺生产中废渣的回收利用，以减少环境污染，提高废渣利用率。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烧结型高通量多孔层管式反应器的研发</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新材料</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合作对象在化工领域，科研基础条件应处于行业领先，以化工研究院方向为主。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氟石膏渣的综合利用</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新材料</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南京工业大学、东南大学氟石膏利用方面的专家团队。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氢燃料电池用高纯钛箔的研制</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新材料</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拟与具有氢燃料电池应用技术背景，或有下游应用客户的高校或科研机构开展产学研用合作，最好有国家杰青或万人计划领军人才作为团队带头人。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难熔金属废钛料的高效回收及绿色增值循环利用</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新材料</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拟与具有氢燃料电池应用技术背景，或有下游应用客户的高校或科研机构开展产学研用合作，最好有国家杰青或万人计划领军人才作为团队带头人。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双氰胺自动连续反应技术改造</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新材料</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希望可以与高等化工院校、科研院所等展开合作，共同探讨双氰胺生产连续化、自动化、规模生产问题。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三氯乙酰氯连续化生产工艺</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新材料</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希望与东部或本地高校开展合作，相关专家和团队在精细化工领域应有一定的技术成果和实践经验。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过共晶铝硅合金组织细化</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新材料</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希望与具有改善过共晶铝硅合金工艺有研究的高校、科研院所开展产学研合作。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提高锂离子电池正极材料三元前驱体性能技术</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新材料</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希望与有丰富的三元前驱体理论及生产经验高校或者科研院所进行合作，双方联合进行开发，其开发成果由双方共同享有。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PPS高精纯度硫化钠结晶产品研究</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新材料</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希望与有实力的科研机构合作，共同解决硫化钠高精纯度结晶产品的问题。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4-甲基氨基硫脲的合成及MIC的合成技术研究</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新材料</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与高校以及科研院所合作，联合开发研究该产品。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无机水性道路涂料系列产品研发</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新材料</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主要以本公司研发人员为主，与交通科研院合作，对研究成果进行检测、评定，这种合作已进行多年，今后仍然延续合作。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外墙保温一体砖提高砌块强度、降低组装折损率的应用与研究</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新能源与节能</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目前与宁夏大学土木与水利工程学院进行了产学研合作，除此之外再寻求别的合作方。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工业固废道路规模化工程应用关键技术</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新能源与节能</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求针对长期致力于钢渣、煤矸石、粉煤灰等工业固废道路规模化应用，具有参与试验段铺筑或实体工程应用经验的高校、科研院所开展产学研合作。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聚光太阳能耦合甲烷热化学制氢技术关键基础科学研究重大需求</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新能源与节能</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能够与工程热物理方向的国内高校开展深入的合作，例如：华北电力大学、中科院电工技术研究所等，形成化学工程-工程热物理方向的深度学科交叉，共同完成太阳能耦合甲烷重整的热化学制氢关键课题的研究，为宁夏太阳能和天然气资源清洁高效转化提供理论基础和技术支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寻找降低煤矸石环保工业型煤添加剂生产成本研究开发合作</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新能源与节能</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希望与国内固体废弃物煤矸石粉煤灰相关学科的科研院所进行合作。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基于工业互联网的特色药材制干智能设备关键技术</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新能源与节能</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希望与有制干技术研究应用方面的高校、科研院所开展产学研合作，合作单位能对工业设备进行仿真设计、智能化、信息化控制设计、熟悉中药材或农特产品烘干工艺。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基于BIM技术的装饰装修精细化管理、智能建造与绿色施工技术研究及应用</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新能源与节能</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希望与宁夏建筑科学研究院、宁夏大学、长安大学等建立长期的产学研合作机制， 并设立研发中心。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除尘灰和矿粉压制成型综合利用项目</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资源与环境</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对冶金行业有所了解，熟悉生产工艺，对冶金设备、冷球成团工艺具有一定研究高校院所。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粉煤灰隔墙板钢筋防腐技术</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资源与环境</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高校或高新技术企业专家团队均可以合作。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加氢汽油以及重整汽油精细化工产品</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资源与环境</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希望与柴油精细化工相关院校合作。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柴油精细化工产品</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资源与环境</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希望与柴油精细化工相关院校合作。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氯乙酸、氯乙酰氯、三氯乙酰氯合成尾气处理技术</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资源与环境</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希望与东部或本地高校开展合作，相关专家和团队在精细化工领域应有一定的技术成果和实践经验。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智能出炉机器人系统研究与开发</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资源与环境</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希望与东部智能机器人系统技术方面技术成熟的科研院所合作。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高效粉煤灰加气块与外加剂适应性和配比技术</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资源与环境</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希望与高校有研究新产品、新技术的专家团队建立合作关系。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工业燃煤锅炉炉渣处理</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资源与环境</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希望与相关院校对接开展合作。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天然气（BOG）提氦技术的研发</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其他领域</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期望与我方合作的高校、科研院所具有关于提氦的深冷分离、变压吸附分离与膜分离的能力。其专家团队需要对BOG提氦有较深的了解，并能根据我公司的相关需求进行设计布置，最终产品达到99.999%浓度要求。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黑曲酶菌发酵技术</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其他领域</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希望与国内知名的食品科研院所合作。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铝业工司装备水平提升</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其他领域</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希望与沈阳铝镁设计研究院有限公司、贵阳铝镁设计研究院有限公司、中南大学、东北大学、武汉大学等高校院所开展产学研合作。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石墨质铝用阴极炭砖的研发</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其他领域</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希望与有在石墨化方面有技术研发的高校合作。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液压支护浓缩液技术研发</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化工</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目前与北方名族大学化学与化工工程学院、宁夏大学化学化工学院进行产品研发技术交流。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牦牛皮的研究与开发</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皮革制造</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希望与有皮革专业高校或皮革类技术中心等平台，共建创新载体，专家及团队所属领域为皮革制造并获得过相关技术证书。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一种便携式外圆磨轴机（抛光）研发与制造</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装备制造与自动化</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需要高校进行进行技术研发。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红外测油仪</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装备制造与自动化</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希望能与一些光学专家及开展光学科研的高校及科研机构合作。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新型温压补偿差压式智能流量积算仪</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装备制造与自动化</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因研发力量有限，需要相关电子电路方面的技术软件研发人才能在电路开发研制方面、优化电路选取性价比高的元器件及测试上给予指导。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生态环境领域技术需求</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资源、生态环境</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1.希望与清华大学环境学院、北京工业大学彭彭永臻院士团队、中科院生态环境研究中心、河海大学环境学院等高校科研机构开展产学研合作。2.希望与国家环科院、中科院建筑设计研究院有限公司合作。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氨基酸类产品技术创新需求</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食品科学与工程</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希望与国内多所著名的生物及饲料科研院所、高等院校建立产学研合作关系，搭建广泛的科学研究和技术交流平台。拓展新兴领域，逐步构建开放的研发平台，提升企业在国内外市场的竞争能力。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氢能源动力机车关键技术研究与实现</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铁路运输</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希望与在氢能源发电、储存等领域有强大技术实力和的企业或科研院所合作，联合铁路机车制造企业，共同开展研发。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地方铁路数字化转型发展关键技术研究与实现</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铁路运输</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希望与在智慧铁路、智能运输领域有强大技术实力和丰富经验的企业或科研院所合作，开展联合研发。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内镶贴片式滴灌带片状滴头粘合紧密度技术工艺的改进</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其他领域</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希望与国内在农业机械技术装备及农业高效节水灌溉领域研究与开发突出的高效建立产学研合作。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有效的废旧滴灌带回收机械设备及相应技术来代替人工</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其他领域</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希望与国内在农业机械技术装备及农业高效节水灌溉领域研究与开发突出的高效建立产学研合作。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食用菌菌种培养技术</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农业特色种质资源</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宁夏滩羊种质资源保护及种质特性挖掘</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农业特色种质资源</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合宁夏大学和宁夏农林科学院组建滩羊遗传资源保护与开发利用技术团队，组建滩羊种质资源保护技术平台；联合宁夏回族自治区动物疾病预防控制中心和宁夏大学组建宁夏滩羊疫病防控与净化技术团队，开展滩羊布鲁氏病防控与净化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银北地区“中苜4号”紫花苜蓿种子产量提升关键技术研发与集成示范</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农业特色种质资源</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期望能与宁夏农林科学院植物保护研究所、荒漠化治理研究所、中科院北京畜牧兽医研究所及农机制造领域内技术领先的科研院所开展产学研合作。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枸杞粉结块的研究</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农业特色种质资源</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希望委托高校以及研发机构进行研发。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黄河大鼻吻鮈种质资源保护及人工繁育和保护遗传学研究</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农业特色种质资源</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希望与中科院水生生物研究所、上海海洋大学水产与生命科学学院、宁夏大学生命科学学院等区内外水产养殖和鱼类种质资源保护等相关专业，尤其是鱼类生殖操作和细胞培养方面具有特色优势的学科专家合作。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9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优质青贮玉米新品种选育</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农业特色种质资源</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依托企业2015年建立的“宁夏玉米育种技术创新中心”，成立宁夏玉米育种博士科研工作站，开启科企合作联合育种模式，依托玉米创新中心和博士工作站，建成玉米育种推广专业人才团队，开展玉米品种选育与推广，希望与山东农科院玉米所加强产学研合作，在人才、资源、技术方面，发挥双方的优势，建立一支创新能力强、稳定的创新团队，促进玉米新品种更新换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无添加蜂蜜水生产技术</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智慧农业</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福建农林大学或掌握蜂蜜水生产技术的科研人员。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一种宁南山区蜂花粉产品研发与推广应用技术</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智慧农业</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希望与国内专业的高校和科研院所合作，并开展创新平台共建，技术能够在生产中应用。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特色优势产业（枸杞、酿酒葡萄）场景下智能作业装备自动驾驶关键技术</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智慧农业</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希望与区外西北农林科技大学及区内宁夏大学、宁夏智源农业装备有限公司等单位开展产学研合作并构建创新载体，希望与具备智能农业装备、移动机器人、自主导航技术研究经历的专家及团队对接合作。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现代数字蜂业养殖技术的集成与推广</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智慧农业</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与宁夏葡萄酒与防沙治沙职业技术学院 昆虫学张学利、张霞教授，孙东等人合作。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六盘山区黄芪即食速溶产品开发与研究</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中药材产业</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希望能和有相关专业资质水平的区内外高校及科研院所开展产学研合作。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中药配方颗粒关键技术及产业化生产研究</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中药材产业</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北京中医药大学、南京中医药大学、宁夏医科大学高校、科研院所开展产学研合作，共建创新载体。对专家及团队所属领域和水平有以下几点要求：（1）在配方颗粒领域取得一定研究成果。（2）有完善的科研体系及合作交流机制。（3）在国际及国内具有影响力科研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野生药用植物驯化栽培技术</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中药材产业</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希望与宁夏师范学院杨智明、丁建海等药物化学及生物工程专家达成合作。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重楼种苗培育与栽培驯化</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中药材产业</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区内高校从“植基地土壤改良--种子培育--繁育种苗--人员技术培训--种植技术推广--种植基地建设--实现成果转化”方面进行深度合作，建立重楼产学研基地，从而以“公司+示范基地+农户+技术服务”的商业模式作为公司产业发展的中心，以技术带动农户，促进当地中药产业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六盘山中药材药食同源技术需求</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中药材产业</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与宁夏医科大学、宁夏中医研究院等高校合作，建立有效的“产学研联合机制”。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林下中药材经济的发展模式和药食 两用产品开发研究</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中药材产业</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专家及团队所属领域和水平的要求：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1.具有丰富的林下经济作物经验和林下中药材种植技术研究积累。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2.熟悉六盘山区道地优势中药材品种特性、食品加工方法等技术要求。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3.技术团队属于国内领先的研究团队，在林下经济作物技术研究、产品开发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等具有一定的权威性。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9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中药材产地初加工和规范化种植技术研究</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中药材产业</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专家及团队所属领域和水平的要求：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1.具有丰富的中药材产地加工经验和中药材种植技术研究积累。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2.熟悉六盘山区道地优势中药材品种特性、传统加工方法等技术要求。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3.技术团队属于区内领先的研究团队，在中药材加工工艺研究和中药材种植技术等具有一定的权威性。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马铃薯全粉主食化新产品加工技术</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特色农产品</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鸡胎素生产技术</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特色农产品</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基于固原黄牛的高质化牛肉产品加工技术</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特色农产品</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山西老陈醋生产技术</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特色农产品</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采取二氧化碳超临界萃取技术提高亚麻籽油中α亚麻酸含量技术</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特色农产品</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高校、科研院所、高企都可以合作。具有较高专业技术水平团队优先合作。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枸杞果蔬软糖糖体不褪色研究</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特色农产品</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联合开发。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中药保健醋生产技术</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特色农产品</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企业、高校及科研院所都可以，有一定实际生产技术。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黑小麦高产栽培技术及产品深加工</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特色农产品</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通过联合开发的方式对食品深加工进行研究。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枸杞鲜果辐照保鲜技术研究与推广</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特色农产品</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通过与有特色农产品和枸杞保鲜技术的权威专家进行联合开发。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泾源黄牛瘤胃加工适宜性研究及系列产品开发</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特色农产品</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希望合作高校在技术上给予支持，财政给予资金支持。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优质葡萄高效生产技术体系</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特色农产品</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能与中国农业大学、西北农林科技大学葡萄酒学院等研究葡萄的高等院校、科研院所开展产学研合作，共建技术创新中心、专家工作站等创新载体，柔性引进国内在葡萄、育种等领域具有较深研究的专家学者来卫提供技术指导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青稞牛肉火腿肠研发及生产线建设</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特色农产品</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从事肉品加工专业的高校与科研机构合作；共同成立“泾源黄牛肉品加工技术研究工程中心”；要求团队在牛肉制品研发中发表相关论文10篇以上，在牛肉制品加工方面，扶持有关企业5家以上，取得发明专利3-5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畜禽养殖废弃物处理及再利用</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特色农产品</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希望与高校、科研院所、科技型企业合作，开展该技术研究开发，需要该大学长期从事家禽育种方面经验丰富，技术先进的技术团队。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朝那鸡高质化产品加工技术</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特色农产品</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希望与高新技术企业、大学等开展技术合作， 技术先进的技术团队。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朝那鸡黑色素提取技术</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特色农产品</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希望与高新技术企业、大学等开展技术合作， 技术先进的技术团队。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安格斯牛低怀孕率、低增长率问题</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特色农产品</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希望与农林科学院、宁夏大学等相关院所达成合作。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中卫市沙坡头区食用菌春冬季适栽品种引进</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特色农产品</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希望与食用菌相关高效、科研院所或类似企业合作。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食用菌系统种植技术</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特色农产品</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希望与食用菌相关高校、科研院所或类似企业合作。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智能化速冻果蔬加工设备研究开发</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特色农产品</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希望与智能化设备高校或科研院所合作。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枸杞面条、饼干等食品中易变色、褪色问题及新技术应用</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特色农产品</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与高校以及科研院所合作，联合开发研究该产品。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宁夏盐碱水池塘海水蟹（拟穴青蟹）养殖技术研发</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特色农产品</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与宁波大学海洋学院开展盐碱水域海水蟹等特色水产品方面的养殖核心技术研发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蔬菜种植中绿色防虫防病技术</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农业绿色发展</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基于家禽养殖的植物饲料制备技术</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农业绿色发展</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家禽屠宰废弃物产业化利用技术</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农业绿色发展</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水果蔬菜绿色种植技术</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农业绿色发展</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水培蔬菜固苗块研制</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农业绿色发展</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对区内有农业专业的大学、学院和职业学院均可合作。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畜禽粪便有机肥高效发酵菌种或技术</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农业绿色发展</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高校、科研院所、企业都可以。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宁夏主要农作物重大病虫害数字化监测预警技术研究与应用</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农业绿色发展</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拟与浙江托普云农科技股份有限公司和武汉起点新智生物科技有限公司合作。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柠条高效平茬装备研发与加工利用技术集成示范</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农业绿色发展</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拟与中国农业机械科学研究院、宁夏大学及常州国腾机械科技有限公司联合开展产学研推合作，共同完成柠条高效平茬装备研发与加工利用技术集成示范。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病死牛羊等动物尸体无害化处理技术装备的研制</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农业绿色发展</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希望和南京农业大学、宁夏农业机械化技术推广站等研发需求相关的知名院校或科研院所联合研发；希望和愿意深耕研究，在动物尸体处理技术及环境控制技术等方面有一定研究基础的专家学者合作研究。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辣椒优质轻简高效关键技 术研究示范</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农业绿色发展</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希望能与宁夏农科院园艺研究所等相关团队开展产学研合作，共建创新载体。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具有智能控制功能的有机肥发酵用翻抛装备</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农业绿色发展</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希望与985高校、农机技术推广部门合作。专家团队领域为机械工程、智能控制、农业机械。水平应具有副教授以上职称，有开发机电产品的经历。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肉牛育肥期全混合日粮配方</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农业绿色发展</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希望与当地或相邻省市高院合作，寻求饲料配方相关专业的专家技术支持和帮助。我公司也可作为高等院校试验实训基地。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苹果种植、加工、病虫害防治、提质增效</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农业绿色发展</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希望与高校、科研院所合作，共同研究开发。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马铃薯淀粉生产废水饲料化利用技术</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农业绿色发展</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希望与国内农业领域技术的高校和科研院所合作，并组建有成熟的开发团队，拥有先进的技术开发基础产业发展。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马铃薯淀粉生产废水饲料化利用技术</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农业绿色发展</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希望与国内农业领域技术的高校和科研院所合作，并组建有成熟的开发团队，拥有先进的技术开发基础产业发展。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软梨子果酒品质提升技术需求项目</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农业绿色发展</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希望与果酒方面有较强技术研究高效、科研院所吧开展合作。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中药材蜜源培育与功能性蜂蜜产品加工技术</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农业绿色发展</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希望与宁夏大学、西北农林科技大学、福建农林大学合作。参与专家必须在该技术领域有研究基础和成果。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机收残膜杂物分离净化可再生系统关键技术的研发</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农业绿色发展</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希望与区内宁夏大学、宁夏农业机械化技术推广站开展产学研合作并构建创新载体，希望与区内外相关专家及团队对接合作。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含菌大量元素水溶肥研究开发</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农业绿色发展</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希望与相关土肥专业高效或科研院所进行合作。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苹果免套袋生产技术成果引进与转化</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农业绿色发展</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与高校以及科研院所合作，联合开发研究该产品。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黄河鲶专用系列配合饲料产业化研发与示范</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农业绿色发展</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与厦门大学、福建省水产饲料研究会、福建省淡水水产研究所等单位联合实施。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规模化肉兔养殖加工废物协同高值化利用与循环产业链构建</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农业绿色发展</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危（固）废与水泥窑协同处置技术</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希望与中国科学院物理工程研究所等相关研发机构，联合开展研发。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母牛产犊报警器</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泾源县羊肚菌大田种植技术</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厦门产业技术研究院、北方民族大学。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葡萄酒生产废弃物资源化循环利用技术</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希望能与中国农业大学、西北农林科技大学葡萄酒学院合作。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枸杞专用生物有机肥的研究与开发</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希望与宁夏大学枸杞研究所、宁夏农科院合作开发。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生物益生菌引进扩培技术推广应用与示范</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希望与宁夏大学葡萄酒与食品学院、农学院及国内其他高校、科研院所有生物工程技术专业的专家或团队开展合作。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宁夏贺兰山东麓葡萄酒产业生产大数据平台建设</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希望与西北农林科技大学和浙江大学等科研院所开展产学研合作，共建创新载体。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解决滴灌苜蓿盐分表聚问题</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畜牧</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通过牧草科技项目带动联合科技厅、农业高校、农科院、草业协会等专加家建立科技创新平台解决技术瓶颈问题。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奶牛养殖污水分级净化与液体肥料化利用关键技术研究与示范</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畜牧</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希望与宁夏大学、农业科学院开展产学研合作。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研究浅埋式滴管苜蓿铺设种植一体化机械</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畜牧</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通过牧草科技项目带动联合科技厅、农业高校、农科院、草业协会等专加家建立科技创新平台解决技术瓶颈问题。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解决苜蓿收获加工低损耗问题</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畜牧</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通过牧草科技项目带动联合科技厅、农业高校、农科院、草业协会等专加家建立科技创新平台解决技术瓶颈问题。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淀粉预包装产品加工技术</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食品加工</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设施蔬菜土壤质量修复技术研究</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蔬菜产业</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希望联合中国农业大学、中国农科院、农业部蔬菜专家指导组、全国高山高原蔬菜优质生态栽培协作组及宁夏大学、宁夏农科院、宁夏农业技术推广站开展设施蔬菜土壤质量修复技术研究。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新型结构日光温室研发及配套技术研究</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蔬菜产业</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希望与西北农林科技大学、宁夏大学开展产学研合作，共建“科研院所+技术推广+企业+基地”创新载体，以设施建造、作物栽培、农业机械等领域专家及技术人员组成技术创新团队。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全自动渔用疫苗、标签智能注射技术与装备研究</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水产</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希望与具备国内相关领域一流研发水平，掌握国内相关领域前沿技术并具有整合国内优质科技资源的能力的国家渔业装备类研究所合作。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宁夏枸杞鱼绿色养殖技术研发与示范</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水产</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希望与上海海洋大学开展相关的研发工作。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自走式撒料机的研制</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特色产业</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拟与宁夏农业机械化技术推广站、宁夏大学、北方民族大学农机或车辆工程等专业的相关学院展开合作；在车辆工程技术领域以及动力学模拟仿真等方面的专家和研发人员，有畜牧机械研发推广经验者优先。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滩羊规模养殖机械化信息化配套技术研究与示范</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特色产业</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拟与西北农林科技大学动科学院、中科智牧（西安）信息科技有限公司联合开展产学研推合作，共同完成滩羊规模养殖机械化信息化配套技术研究与示范。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葡萄基地岩石粉碎处理装备关键技术的研发</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特色产业</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希望与陈学庚院士团队及区外石河子大学、区内宁夏大学、北方民族大学、宁夏农业机械化技术推广站、自治区葡萄产业发展局开展产学研合作并构建创新载体，希望与区内外相关专家及团队对接合作。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黄花菜高效智能植保机械的研发</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特色产业</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希望与区内宁夏大学、宁夏农业机械化技术推广站开展产学研合作并构建创新载体，希望与区内外相关专家及团队对接合作。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葡萄枸杞自动避让枝条剪枝机的研发</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特色产业</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希望与区内宁夏大学、宁夏农业机械化技术推广站开展产学研合作并构建创新载体，希望与区内外相关专家及团队对接合作。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养殖水体生态调控高质量发展关键技术研究</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养殖水环境修复</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希望与中国水产科学研究院长江水产研究所、宁夏大学合作开展养殖水域生态调控和高质量养殖关键技术研究。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宁夏重大植物疫情和外来入侵物种监测预警与防控技术研究与应用</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植物检疫</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计划与宁夏大学、中国检验检疫科学研究院和武汉起点新智生物科技有限公司合作。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金银花规范化种植技术研究</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中药材产品</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希望与山东、河北、安徽等地高校建立合作。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金银花废弃物在饲料方面的开发利用</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中药材产品</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希望与山东、河北、安徽等地高校建立合作。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金银花机械化采摘及修剪技术</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中药材产品</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希望与山东高效建立合作。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沙棘标准化高效栽培与产品开发技术研究与示范</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种植</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希望与宁夏大学、上海交通大学、农业科学院开展产学研合作。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麦属类—青贮玉米草畜一体化高质量节水生产技术研究与示范</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种植、畜牧</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希望与宁夏大学、农业科学院开展产学研合作。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玉米分子育种技术应用研究及平台建设</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种子培育</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希望与湖北康农公司、深圳华大基因公司、农业科学院联合开发。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滩羊皮、毛、尾、油及内脏等副产品及速食产品生产加工利用技术研发</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重点产业</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希望与中国农业科学院、中国农业大学、江南大学、宁夏农林科学院、宁夏大学、食品加工研究机构等多年从事滩羊产业技术、产品加工研发的科研院所合作，组建产学研推深度融合的创新联合体。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R＆D统计与咨询服务手机APP技术</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社会发展领域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马铃薯渣的综合利用</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社会发展领域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高校及高新技术企业都可以合作，具有实际生产经验的优先。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大数据平台关键技术</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社会发展领域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希望与宁夏大学旅游学院及计算机相关研究院开展合作。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提升新闻媒体中央厨房信息精准推送功能</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社会发展领域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希望与信息化学科高校、科研院所、科技型企业合作，解决技术问题。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利用宁夏自然资源调查云对枸杞、葡萄酒、奶产业、肉牛和滩羊等自治区重点产业用地及产业发展相关情况开展“互联网+”的监测监管技术研究</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社会发展领域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与中国国土勘测规划院开展合作交流，与国内从事开展国土调查云开发、推广应用相关科研院所、企业合作开发，与自治区相关产业监管部门共同推广应用。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用于生态修复的粉煤灰与基质土壤相容性技术研究</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社会发展领域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生态环境</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希望与拥有研究粉煤灰与基质土壤相容性技术、生态修复经验的高校、科研院所进行产学研合作。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黑山峡水利枢纽建设区域生态气象环境演变模拟与风险评估</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社会发展领域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生态环境</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希望与北京师范大学、国家生态环境部卫星应用中心等单位开展合作，发挥最直接生态环境与水资源遥感技术能力，领域为生态环境遥感方面，具有长期应用经验和水平的国内一流权威高校。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银川平原生态农业高质量发展用水调控机制及气候生态维持研究</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社会发展领域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生态环境</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希望与北京师范大学、中国农科院等单位开展合作，发挥最直接生态气象与水资源遥感技术能力，领域为生态环境遥感方面，具有长期应用经验和水平的国内一流权威高校。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宁夏大气减污降碳综合遥感监测评估应用示范</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社会发展领域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生态环境</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希望与生态环境部卫星环境应用中心等单位开展合作，最直接掌握国家大气环境管理需求和技术能力。领域为大气环境遥感方面，具有长期应用经验和水平的国内一流权威行业部门。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碳中和目标背景下宁夏气候变化应对和大气污染防治协同发展的效益研究</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社会发展领域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生态环境</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希望与生态环境及相关领域的高校或科研院合作，要求专家及团队有相关研究经验。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石墨烯艺术衍生品取暖装置研发合作</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社会发展领域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生态环境</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希望与石墨烯材料研发的高校、科研院所以及相关公司进行产学研合作，共建创新载体，以及需要与国内外顶尖石墨烯材料研发领域的团队进行深入合作。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宁南生态屏障区云水资源开发关键技术研究与应用示范</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社会发展领域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生态环境</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中国科学院大气物理研究所、中国气象局人工影响天气中心、南京信息工程大学。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手十二井穴护脑健脑理论和技术的临床应用及机理研究</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社会发展领域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人口健康</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天津中医药大学实验针灸中心。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引进外省生殖医学团队</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社会发展领域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人口健康</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江苏省中医院夏桂成及其团队。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基于起重机轨道状态智能检测装置</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社会发展领域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公共安全</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希望与国内有关专业较强的院校合作，加强交流，提升我院检验能力。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承压设备多功能检测智能机器人</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社会发展领域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公共安全</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希望与西安交通大学或者其他工科院校合作开展产学研合作，共建创新载体。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提升企业交通运输科学化服务水平</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社会发展领域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公共安全</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希望与信息化学科高校、科研院所、科技型企业合作，解决技术问题，共建创新载体。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工业废盐杂盐处理技术</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社会发展领域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污染防治</w:t>
            </w:r>
          </w:p>
        </w:tc>
        <w:tc>
          <w:tcPr>
            <w:tcW w:w="4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r>
    </w:tbl>
    <w:p>
      <w:bookmarkStart w:id="0" w:name="_GoBack"/>
      <w:bookmarkEnd w:id="0"/>
    </w:p>
    <w:sectPr>
      <w:pgSz w:w="16838" w:h="11906" w:orient="landscape"/>
      <w:pgMar w:top="1531" w:right="2154" w:bottom="147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4AABE"/>
    <w:multiLevelType w:val="multilevel"/>
    <w:tmpl w:val="5F34AABE"/>
    <w:lvl w:ilvl="0" w:tentative="0">
      <w:start w:val="1"/>
      <w:numFmt w:val="decimal"/>
      <w:lvlText w:val="%1."/>
      <w:lvlJc w:val="left"/>
      <w:pPr>
        <w:ind w:left="432" w:hanging="432"/>
      </w:pPr>
      <w:rPr>
        <w:rFonts w:hint="default"/>
      </w:rPr>
    </w:lvl>
    <w:lvl w:ilvl="1" w:tentative="0">
      <w:start w:val="1"/>
      <w:numFmt w:val="decimal"/>
      <w:pStyle w:val="4"/>
      <w:lvlText w:val="%1.%2."/>
      <w:lvlJc w:val="left"/>
      <w:pPr>
        <w:ind w:left="575" w:hanging="575"/>
      </w:pPr>
      <w:rPr>
        <w:rFonts w:hint="default"/>
      </w:rPr>
    </w:lvl>
    <w:lvl w:ilvl="2" w:tentative="0">
      <w:start w:val="1"/>
      <w:numFmt w:val="decimal"/>
      <w:pStyle w:val="5"/>
      <w:lvlText w:val="%1.%2.%3."/>
      <w:lvlJc w:val="left"/>
      <w:pPr>
        <w:ind w:left="720" w:hanging="720"/>
      </w:pPr>
      <w:rPr>
        <w:rFonts w:hint="default"/>
      </w:rPr>
    </w:lvl>
    <w:lvl w:ilvl="3" w:tentative="0">
      <w:start w:val="1"/>
      <w:numFmt w:val="decimal"/>
      <w:pStyle w:val="6"/>
      <w:lvlText w:val="%1.%2.%3.%4."/>
      <w:lvlJc w:val="left"/>
      <w:pPr>
        <w:ind w:left="864" w:hanging="864"/>
      </w:pPr>
      <w:rPr>
        <w:rFonts w:hint="default"/>
      </w:rPr>
    </w:lvl>
    <w:lvl w:ilvl="4" w:tentative="0">
      <w:start w:val="1"/>
      <w:numFmt w:val="decimal"/>
      <w:pStyle w:val="7"/>
      <w:lvlText w:val="%1.%2.%3.%4.%5."/>
      <w:lvlJc w:val="left"/>
      <w:pPr>
        <w:ind w:left="1008" w:hanging="1008"/>
      </w:pPr>
      <w:rPr>
        <w:rFonts w:hint="default"/>
      </w:rPr>
    </w:lvl>
    <w:lvl w:ilvl="5" w:tentative="0">
      <w:start w:val="1"/>
      <w:numFmt w:val="decimal"/>
      <w:pStyle w:val="8"/>
      <w:lvlText w:val="%1.%2.%3.%4.%5.%6."/>
      <w:lvlJc w:val="left"/>
      <w:pPr>
        <w:ind w:left="1151" w:hanging="1151"/>
      </w:pPr>
      <w:rPr>
        <w:rFonts w:hint="default"/>
      </w:rPr>
    </w:lvl>
    <w:lvl w:ilvl="6" w:tentative="0">
      <w:start w:val="1"/>
      <w:numFmt w:val="decimal"/>
      <w:pStyle w:val="9"/>
      <w:lvlText w:val="%1.%2.%3.%4.%5.%6.%7."/>
      <w:lvlJc w:val="left"/>
      <w:pPr>
        <w:ind w:left="1296" w:hanging="1296"/>
      </w:pPr>
      <w:rPr>
        <w:rFonts w:hint="default"/>
      </w:rPr>
    </w:lvl>
    <w:lvl w:ilvl="7" w:tentative="0">
      <w:start w:val="1"/>
      <w:numFmt w:val="decimal"/>
      <w:pStyle w:val="10"/>
      <w:lvlText w:val="%1.%2.%3.%4.%5.%6.%7.%8."/>
      <w:lvlJc w:val="left"/>
      <w:pPr>
        <w:ind w:left="1440" w:hanging="1440"/>
      </w:pPr>
      <w:rPr>
        <w:rFonts w:hint="default"/>
      </w:rPr>
    </w:lvl>
    <w:lvl w:ilvl="8" w:tentative="0">
      <w:start w:val="1"/>
      <w:numFmt w:val="decimal"/>
      <w:pStyle w:val="11"/>
      <w:lvlText w:val="%1.%2.%3.%4.%5.%6.%7.%8.%9."/>
      <w:lvlJc w:val="left"/>
      <w:pPr>
        <w:ind w:left="1583" w:hanging="1583"/>
      </w:pPr>
      <w:rPr>
        <w:rFonts w:hint="default"/>
      </w:rPr>
    </w:lvl>
  </w:abstractNum>
  <w:abstractNum w:abstractNumId="1">
    <w:nsid w:val="5F34ABF6"/>
    <w:multiLevelType w:val="multilevel"/>
    <w:tmpl w:val="5F34ABF6"/>
    <w:lvl w:ilvl="0" w:tentative="0">
      <w:start w:val="1"/>
      <w:numFmt w:val="none"/>
      <w:pStyle w:val="3"/>
      <w:suff w:val="space"/>
      <w:lvlText w:val="第一部分"/>
      <w:lvlJc w:val="left"/>
      <w:pPr>
        <w:tabs>
          <w:tab w:val="left" w:pos="420"/>
        </w:tabs>
        <w:ind w:left="420" w:hanging="420"/>
      </w:pPr>
      <w:rPr>
        <w:rFonts w:hint="default" w:ascii="宋体" w:hAnsi="宋体" w:eastAsia="方正小标宋_GBK"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B3B431E"/>
    <w:rsid w:val="22A21C27"/>
    <w:rsid w:val="3C1610B0"/>
    <w:rsid w:val="430567E7"/>
    <w:rsid w:val="486C18C0"/>
    <w:rsid w:val="5E904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3">
    <w:name w:val="heading 1"/>
    <w:basedOn w:val="1"/>
    <w:next w:val="1"/>
    <w:link w:val="16"/>
    <w:qFormat/>
    <w:uiPriority w:val="0"/>
    <w:pPr>
      <w:keepNext/>
      <w:keepLines/>
      <w:numPr>
        <w:ilvl w:val="0"/>
        <w:numId w:val="1"/>
      </w:numPr>
      <w:spacing w:before="340" w:after="330" w:line="578" w:lineRule="auto"/>
      <w:ind w:left="432" w:hanging="432"/>
      <w:jc w:val="center"/>
      <w:outlineLvl w:val="0"/>
    </w:pPr>
    <w:rPr>
      <w:rFonts w:eastAsia="方正小标宋_GBK" w:cs="Times New Roman"/>
      <w:kern w:val="44"/>
      <w:sz w:val="44"/>
      <w:szCs w:val="44"/>
    </w:rPr>
  </w:style>
  <w:style w:type="paragraph" w:styleId="4">
    <w:name w:val="heading 2"/>
    <w:basedOn w:val="1"/>
    <w:next w:val="1"/>
    <w:unhideWhenUsed/>
    <w:qFormat/>
    <w:uiPriority w:val="0"/>
    <w:pPr>
      <w:keepNext/>
      <w:keepLines/>
      <w:numPr>
        <w:ilvl w:val="1"/>
        <w:numId w:val="2"/>
      </w:numPr>
      <w:spacing w:before="260" w:beforeLines="0" w:beforeAutospacing="0" w:after="260" w:afterLines="0" w:afterAutospacing="0" w:line="413" w:lineRule="auto"/>
      <w:ind w:left="575" w:hanging="575"/>
      <w:outlineLvl w:val="1"/>
    </w:pPr>
    <w:rPr>
      <w:rFonts w:ascii="Arial" w:hAnsi="Arial" w:eastAsia="黑体"/>
      <w:sz w:val="32"/>
    </w:rPr>
  </w:style>
  <w:style w:type="paragraph" w:styleId="5">
    <w:name w:val="heading 3"/>
    <w:basedOn w:val="1"/>
    <w:next w:val="1"/>
    <w:unhideWhenUsed/>
    <w:qFormat/>
    <w:uiPriority w:val="0"/>
    <w:pPr>
      <w:keepNext/>
      <w:keepLines/>
      <w:numPr>
        <w:ilvl w:val="2"/>
        <w:numId w:val="2"/>
      </w:numPr>
      <w:spacing w:before="260" w:beforeLines="0" w:beforeAutospacing="0" w:after="260" w:afterLines="0" w:afterAutospacing="0" w:line="413" w:lineRule="auto"/>
      <w:ind w:left="720" w:hanging="720"/>
      <w:outlineLvl w:val="2"/>
    </w:pPr>
    <w:rPr>
      <w:sz w:val="32"/>
    </w:rPr>
  </w:style>
  <w:style w:type="paragraph" w:styleId="6">
    <w:name w:val="heading 4"/>
    <w:basedOn w:val="1"/>
    <w:next w:val="1"/>
    <w:unhideWhenUsed/>
    <w:qFormat/>
    <w:uiPriority w:val="0"/>
    <w:pPr>
      <w:keepNext/>
      <w:keepLines/>
      <w:numPr>
        <w:ilvl w:val="3"/>
        <w:numId w:val="2"/>
      </w:numPr>
      <w:spacing w:before="280" w:beforeLines="0" w:beforeAutospacing="0" w:after="290" w:afterLines="0" w:afterAutospacing="0" w:line="372" w:lineRule="auto"/>
      <w:ind w:left="864" w:hanging="864"/>
      <w:outlineLvl w:val="3"/>
    </w:pPr>
    <w:rPr>
      <w:rFonts w:ascii="Arial" w:hAnsi="Arial" w:eastAsia="黑体"/>
      <w:sz w:val="28"/>
    </w:rPr>
  </w:style>
  <w:style w:type="paragraph" w:styleId="7">
    <w:name w:val="heading 5"/>
    <w:basedOn w:val="1"/>
    <w:next w:val="1"/>
    <w:unhideWhenUsed/>
    <w:qFormat/>
    <w:uiPriority w:val="0"/>
    <w:pPr>
      <w:keepNext/>
      <w:keepLines/>
      <w:numPr>
        <w:ilvl w:val="4"/>
        <w:numId w:val="2"/>
      </w:numPr>
      <w:spacing w:before="280" w:beforeLines="0" w:beforeAutospacing="0" w:after="290" w:afterLines="0" w:afterAutospacing="0" w:line="372" w:lineRule="auto"/>
      <w:ind w:left="1008" w:hanging="1008"/>
      <w:outlineLvl w:val="4"/>
    </w:pPr>
    <w:rPr>
      <w:sz w:val="28"/>
    </w:rPr>
  </w:style>
  <w:style w:type="paragraph" w:styleId="8">
    <w:name w:val="heading 6"/>
    <w:basedOn w:val="1"/>
    <w:next w:val="1"/>
    <w:unhideWhenUsed/>
    <w:qFormat/>
    <w:uiPriority w:val="0"/>
    <w:pPr>
      <w:keepNext/>
      <w:keepLines/>
      <w:numPr>
        <w:ilvl w:val="5"/>
        <w:numId w:val="2"/>
      </w:numPr>
      <w:spacing w:before="240" w:beforeLines="0" w:beforeAutospacing="0" w:after="64" w:afterLines="0" w:afterAutospacing="0" w:line="317" w:lineRule="auto"/>
      <w:ind w:left="1151" w:hanging="1151"/>
      <w:outlineLvl w:val="5"/>
    </w:pPr>
    <w:rPr>
      <w:rFonts w:ascii="Arial" w:hAnsi="Arial" w:eastAsia="黑体"/>
      <w:sz w:val="24"/>
    </w:rPr>
  </w:style>
  <w:style w:type="paragraph" w:styleId="9">
    <w:name w:val="heading 7"/>
    <w:basedOn w:val="1"/>
    <w:next w:val="1"/>
    <w:unhideWhenUsed/>
    <w:qFormat/>
    <w:uiPriority w:val="0"/>
    <w:pPr>
      <w:keepNext/>
      <w:keepLines/>
      <w:numPr>
        <w:ilvl w:val="6"/>
        <w:numId w:val="2"/>
      </w:numPr>
      <w:spacing w:before="240" w:beforeLines="0" w:beforeAutospacing="0" w:after="64" w:afterLines="0" w:afterAutospacing="0" w:line="317" w:lineRule="auto"/>
      <w:ind w:left="1296" w:hanging="1296"/>
      <w:outlineLvl w:val="6"/>
    </w:pPr>
    <w:rPr>
      <w:sz w:val="24"/>
    </w:rPr>
  </w:style>
  <w:style w:type="paragraph" w:styleId="10">
    <w:name w:val="heading 8"/>
    <w:basedOn w:val="1"/>
    <w:next w:val="1"/>
    <w:unhideWhenUsed/>
    <w:qFormat/>
    <w:uiPriority w:val="0"/>
    <w:pPr>
      <w:keepNext/>
      <w:keepLines/>
      <w:numPr>
        <w:ilvl w:val="7"/>
        <w:numId w:val="2"/>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1">
    <w:name w:val="heading 9"/>
    <w:basedOn w:val="1"/>
    <w:next w:val="1"/>
    <w:unhideWhenUsed/>
    <w:qFormat/>
    <w:uiPriority w:val="0"/>
    <w:pPr>
      <w:keepNext/>
      <w:keepLines/>
      <w:numPr>
        <w:ilvl w:val="8"/>
        <w:numId w:val="2"/>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4">
    <w:name w:val="Default Paragraph Font"/>
    <w:unhideWhenUsed/>
    <w:qFormat/>
    <w:uiPriority w:val="1"/>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12">
    <w:name w:val="footer"/>
    <w:basedOn w:val="1"/>
    <w:unhideWhenUsed/>
    <w:qFormat/>
    <w:uiPriority w:val="99"/>
    <w:pPr>
      <w:tabs>
        <w:tab w:val="center" w:pos="4153"/>
        <w:tab w:val="right" w:pos="8306"/>
      </w:tabs>
    </w:pPr>
    <w:rPr>
      <w:sz w:val="18"/>
      <w:szCs w:val="18"/>
    </w:rPr>
  </w:style>
  <w:style w:type="paragraph" w:styleId="13">
    <w:name w:val="Normal (Web)"/>
    <w:basedOn w:val="1"/>
    <w:qFormat/>
    <w:uiPriority w:val="0"/>
    <w:pPr>
      <w:widowControl w:val="0"/>
      <w:adjustRightInd/>
      <w:snapToGrid/>
      <w:spacing w:before="100" w:beforeAutospacing="1" w:after="100" w:afterAutospacing="1"/>
      <w:ind w:firstLine="880" w:firstLineChars="200"/>
    </w:pPr>
    <w:rPr>
      <w:rFonts w:ascii="Times New Roman" w:hAnsi="Times New Roman" w:eastAsia="仿宋_GB2312" w:cs="Times New Roman"/>
      <w:sz w:val="24"/>
      <w:szCs w:val="24"/>
    </w:rPr>
  </w:style>
  <w:style w:type="character" w:customStyle="1" w:styleId="16">
    <w:name w:val="标题 1 字符"/>
    <w:basedOn w:val="14"/>
    <w:link w:val="3"/>
    <w:qFormat/>
    <w:uiPriority w:val="9"/>
    <w:rPr>
      <w:rFonts w:ascii="Calibri" w:hAnsi="Calibri" w:eastAsia="方正小标宋_GBK" w:cs="Times New Roman"/>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迷雾中的幻城</cp:lastModifiedBy>
  <dcterms:modified xsi:type="dcterms:W3CDTF">2021-07-28T04:44:17Z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