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after="750" w:line="360" w:lineRule="auto"/>
        <w:contextualSpacing/>
        <w:jc w:val="center"/>
        <w:rPr>
          <w:rFonts w:hint="eastAsia" w:cs="宋体" w:asciiTheme="minorEastAsia" w:hAnsiTheme="minorEastAsia"/>
          <w:b/>
          <w:color w:val="000000"/>
          <w:sz w:val="40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b/>
          <w:color w:val="000000"/>
          <w:sz w:val="40"/>
          <w:szCs w:val="28"/>
          <w:shd w:val="clear" w:color="auto" w:fill="FFFFFF"/>
          <w:lang w:val="en-US" w:eastAsia="zh-CN"/>
        </w:rPr>
        <w:t>2021</w:t>
      </w:r>
      <w:r>
        <w:rPr>
          <w:rFonts w:hint="eastAsia" w:cs="宋体" w:asciiTheme="minorEastAsia" w:hAnsiTheme="minorEastAsia"/>
          <w:b/>
          <w:color w:val="000000"/>
          <w:sz w:val="40"/>
          <w:szCs w:val="28"/>
          <w:shd w:val="clear" w:color="auto" w:fill="FFFFFF"/>
        </w:rPr>
        <w:t>年</w:t>
      </w:r>
      <w:r>
        <w:rPr>
          <w:rFonts w:hint="eastAsia" w:cs="宋体" w:asciiTheme="minorEastAsia" w:hAnsiTheme="minorEastAsia"/>
          <w:b/>
          <w:color w:val="000000"/>
          <w:sz w:val="40"/>
          <w:szCs w:val="28"/>
          <w:shd w:val="clear" w:color="auto" w:fill="FFFFFF"/>
          <w:lang w:eastAsia="zh-CN"/>
        </w:rPr>
        <w:t>度</w:t>
      </w:r>
      <w:r>
        <w:rPr>
          <w:rFonts w:hint="eastAsia" w:cs="宋体" w:asciiTheme="minorEastAsia" w:hAnsiTheme="minorEastAsia"/>
          <w:b/>
          <w:color w:val="000000"/>
          <w:sz w:val="40"/>
          <w:szCs w:val="28"/>
          <w:shd w:val="clear" w:color="auto" w:fill="FFFFFF"/>
        </w:rPr>
        <w:t>仲恺高新区扶持企业到省内区域性股权</w:t>
      </w:r>
    </w:p>
    <w:p>
      <w:pPr>
        <w:pStyle w:val="7"/>
        <w:widowControl/>
        <w:spacing w:after="750" w:line="360" w:lineRule="auto"/>
        <w:contextualSpacing/>
        <w:jc w:val="center"/>
        <w:rPr>
          <w:rFonts w:cs="宋体" w:asciiTheme="minorEastAsia" w:hAnsiTheme="minorEastAsia"/>
          <w:b/>
          <w:color w:val="000000"/>
          <w:sz w:val="40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b/>
          <w:color w:val="000000"/>
          <w:sz w:val="40"/>
          <w:szCs w:val="28"/>
          <w:shd w:val="clear" w:color="auto" w:fill="FFFFFF"/>
        </w:rPr>
        <w:t>市场挂牌</w:t>
      </w:r>
      <w:r>
        <w:rPr>
          <w:rFonts w:hint="eastAsia" w:cs="宋体" w:asciiTheme="minorEastAsia" w:hAnsiTheme="minorEastAsia"/>
          <w:b/>
          <w:color w:val="000000"/>
          <w:sz w:val="40"/>
          <w:szCs w:val="28"/>
          <w:shd w:val="clear" w:color="auto" w:fill="FFFFFF"/>
          <w:lang w:eastAsia="zh-CN"/>
        </w:rPr>
        <w:t>资金奖补</w:t>
      </w:r>
      <w:r>
        <w:rPr>
          <w:rFonts w:hint="eastAsia" w:cs="宋体" w:asciiTheme="minorEastAsia" w:hAnsiTheme="minorEastAsia"/>
          <w:b/>
          <w:color w:val="000000"/>
          <w:sz w:val="40"/>
          <w:szCs w:val="28"/>
          <w:shd w:val="clear" w:color="auto" w:fill="FFFFFF"/>
        </w:rPr>
        <w:t>申报指南</w:t>
      </w:r>
    </w:p>
    <w:p>
      <w:pPr>
        <w:pStyle w:val="7"/>
        <w:widowControl/>
        <w:spacing w:after="750" w:line="360" w:lineRule="auto"/>
        <w:contextualSpacing/>
        <w:jc w:val="both"/>
        <w:rPr>
          <w:rFonts w:cs="宋体" w:asciiTheme="minorEastAsia" w:hAnsiTheme="minorEastAsia"/>
          <w:color w:val="000000"/>
          <w:sz w:val="21"/>
          <w:szCs w:val="21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750" w:line="560" w:lineRule="exact"/>
        <w:ind w:firstLine="960" w:firstLineChars="300"/>
        <w:contextualSpacing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为进一步鼓励、推动企业在省内区域性股权市场挂牌，根据《仲恺高新区扶持企业到省内区域性股权市场挂牌实施方案》结合工作实际，现发布20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度</w:t>
      </w:r>
      <w:r>
        <w:rPr>
          <w:rFonts w:hint="eastAsia" w:ascii="仿宋" w:hAnsi="仿宋" w:eastAsia="仿宋" w:cs="仿宋"/>
          <w:sz w:val="32"/>
          <w:szCs w:val="32"/>
        </w:rPr>
        <w:t>仲恺高新区扶持企业到省内区域性股权市场挂牌资金奖补申报指南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750" w:line="560" w:lineRule="exact"/>
        <w:ind w:firstLine="960" w:firstLineChars="300"/>
        <w:contextualSpacing/>
        <w:jc w:val="both"/>
        <w:textAlignment w:val="auto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申报对象：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注册地在惠州仲恺高新区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的企业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</w:rPr>
        <w:t>，且该企业两年内无违法违规经营行为。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750" w:line="560" w:lineRule="exact"/>
        <w:ind w:firstLine="960" w:firstLineChars="300"/>
        <w:contextualSpacing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二、申报条件：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sz w:val="32"/>
          <w:szCs w:val="32"/>
          <w:shd w:val="clear"/>
        </w:rPr>
        <w:t>对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sz w:val="32"/>
          <w:szCs w:val="32"/>
          <w:shd w:val="clear"/>
          <w:lang w:val="en-US" w:eastAsia="zh-CN"/>
        </w:rPr>
        <w:t>2020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sz w:val="32"/>
          <w:szCs w:val="32"/>
          <w:shd w:val="clear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sz w:val="32"/>
          <w:szCs w:val="32"/>
          <w:shd w:val="clear"/>
          <w:lang w:eastAsia="zh-CN"/>
        </w:rPr>
        <w:t>在省内区域性股权市场成功挂牌前三名的企业（按挂牌日期的先后顺序排列）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sz w:val="32"/>
          <w:szCs w:val="32"/>
          <w:shd w:val="clear"/>
          <w:lang w:val="en-US"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750" w:line="560" w:lineRule="exact"/>
        <w:ind w:firstLine="960" w:firstLineChars="300"/>
        <w:contextualSpacing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  <w:lang w:eastAsia="zh-CN"/>
        </w:rPr>
        <w:t>三、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申报方式：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750" w:line="560" w:lineRule="exact"/>
        <w:ind w:firstLine="640" w:firstLineChars="200"/>
        <w:contextualSpacing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填写《惠州仲恺高新区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shd w:val="clear" w:color="auto" w:fill="FFFFFF"/>
        </w:rPr>
        <w:t>企业挂牌区域性股权市场奖励资金申请表》及相关附件，报送纸质材料至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shd w:val="clear" w:color="auto" w:fill="FFFFFF"/>
          <w:lang w:eastAsia="zh-CN"/>
        </w:rPr>
        <w:t>区科技创新局金融服务科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shd w:val="clear" w:color="auto" w:fill="FFFFFF"/>
        </w:rPr>
        <w:t>（地址：惠州仲恺高新区和畅五路西8号投资控股大厦1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shd w:val="clear" w:color="auto" w:fill="FFFFFF"/>
        </w:rPr>
        <w:t>楼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1104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shd w:val="clear" w:color="auto" w:fill="FFFFFF"/>
        </w:rPr>
        <w:t>室；联系人：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shd w:val="clear" w:color="auto" w:fill="FFFFFF"/>
          <w:lang w:eastAsia="zh-CN"/>
        </w:rPr>
        <w:t>曾富康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shd w:val="clear" w:color="auto" w:fill="FFFFFF"/>
        </w:rPr>
        <w:t>，联系电话：0752-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shd w:val="clear" w:color="auto" w:fill="FFFFFF"/>
          <w:lang w:val="en-US" w:eastAsia="zh-CN"/>
        </w:rPr>
        <w:t>2630616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shd w:val="clear" w:color="auto" w:fill="FFFFFF"/>
        </w:rPr>
        <w:t>）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750" w:line="560" w:lineRule="exact"/>
        <w:ind w:left="427" w:firstLine="320" w:firstLineChars="100"/>
        <w:contextualSpacing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highlight w:val="none"/>
          <w:shd w:val="clear" w:color="auto" w:fill="FFFFFF"/>
        </w:rPr>
        <w:t xml:space="preserve">四、支持方式：   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750" w:line="560" w:lineRule="exact"/>
        <w:ind w:firstLine="640" w:firstLineChars="200"/>
        <w:contextualSpacing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事后奖补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750" w:line="560" w:lineRule="exact"/>
        <w:ind w:firstLine="640" w:firstLineChars="200"/>
        <w:contextualSpacing/>
        <w:jc w:val="both"/>
        <w:textAlignment w:val="auto"/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shd w:val="clear" w:color="auto" w:fill="FFFFFF"/>
        </w:rPr>
        <w:t>、奖补标准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750" w:line="560" w:lineRule="exact"/>
        <w:ind w:left="427" w:firstLine="640" w:firstLineChars="200"/>
        <w:contextualSpacing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sz w:val="32"/>
          <w:szCs w:val="32"/>
          <w:shd w:val="clear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sz w:val="32"/>
          <w:szCs w:val="32"/>
          <w:shd w:val="clear"/>
          <w:lang w:eastAsia="zh-CN"/>
        </w:rPr>
        <w:t>给予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sz w:val="32"/>
          <w:szCs w:val="32"/>
          <w:shd w:val="clear"/>
        </w:rPr>
        <w:t>一次性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奖励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sz w:val="32"/>
          <w:szCs w:val="32"/>
          <w:shd w:val="clear"/>
          <w:lang w:eastAsia="zh-CN"/>
        </w:rPr>
        <w:t>资金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sz w:val="32"/>
          <w:szCs w:val="32"/>
          <w:shd w:val="clear"/>
          <w:lang w:val="en-US" w:eastAsia="zh-CN"/>
        </w:rPr>
        <w:t>10万元。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750" w:line="560" w:lineRule="exact"/>
        <w:ind w:left="427" w:firstLine="640" w:firstLineChars="200"/>
        <w:contextualSpacing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sz w:val="32"/>
          <w:szCs w:val="32"/>
          <w:shd w:val="clear"/>
          <w:lang w:val="en-US" w:eastAsia="zh-CN"/>
        </w:rPr>
        <w:t>成功申报获得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auto"/>
          <w:lang w:eastAsia="zh-CN"/>
        </w:rPr>
        <w:t>奖励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sz w:val="32"/>
          <w:szCs w:val="32"/>
          <w:shd w:val="clear"/>
          <w:lang w:val="en-US" w:eastAsia="zh-CN"/>
        </w:rPr>
        <w:t>资金的企业原则上1年内不得退出区域性股权市场，否则区级相关部门将保留收回奖励资金的权利。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750" w:line="560" w:lineRule="exact"/>
        <w:ind w:left="310" w:leftChars="0" w:firstLine="320" w:firstLineChars="0"/>
        <w:contextualSpacing/>
        <w:jc w:val="both"/>
        <w:textAlignment w:val="auto"/>
        <w:rPr>
          <w:rFonts w:hint="eastAsia" w:ascii="仿宋" w:hAnsi="仿宋" w:eastAsia="仿宋" w:cs="仿宋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shd w:val="clear" w:color="auto" w:fill="FFFFFF"/>
        </w:rPr>
        <w:t>申报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shd w:val="clear" w:color="auto" w:fill="FFFFFF"/>
          <w:lang w:eastAsia="zh-CN"/>
        </w:rPr>
        <w:t>材料</w:t>
      </w:r>
      <w:r>
        <w:rPr>
          <w:rFonts w:hint="eastAsia" w:ascii="仿宋" w:hAnsi="仿宋" w:eastAsia="仿宋" w:cs="仿宋"/>
          <w:b/>
          <w:color w:val="000000"/>
          <w:sz w:val="32"/>
          <w:szCs w:val="32"/>
          <w:shd w:val="clear" w:color="auto" w:fill="FFFFFF"/>
        </w:rPr>
        <w:t xml:space="preserve">  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750" w:line="560" w:lineRule="exact"/>
        <w:ind w:leftChars="200" w:firstLine="320" w:firstLineChars="100"/>
        <w:contextualSpacing/>
        <w:jc w:val="both"/>
        <w:textAlignment w:val="auto"/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</w:rPr>
      </w:pP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  <w:lang w:eastAsia="zh-CN"/>
        </w:rPr>
        <w:t>（一）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</w:rPr>
        <w:t>企业申请报告；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750" w:line="560" w:lineRule="exact"/>
        <w:ind w:leftChars="200" w:firstLine="320" w:firstLineChars="100"/>
        <w:contextualSpacing/>
        <w:jc w:val="both"/>
        <w:textAlignment w:val="auto"/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  <w:lang w:eastAsia="zh-CN"/>
        </w:rPr>
        <w:t>（二）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</w:rPr>
        <w:t>惠州仲恺高新区企业挂牌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  <w:lang w:eastAsia="zh-CN"/>
        </w:rPr>
        <w:t>省内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</w:rPr>
        <w:t>区域性股权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  <w:lang w:eastAsia="zh-CN"/>
        </w:rPr>
        <w:t>市场奖励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</w:rPr>
        <w:t>资金申请表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  <w:lang w:eastAsia="zh-CN"/>
        </w:rPr>
        <w:t>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750" w:line="560" w:lineRule="exact"/>
        <w:ind w:leftChars="200" w:firstLine="320" w:firstLineChars="100"/>
        <w:contextualSpacing/>
        <w:jc w:val="both"/>
        <w:textAlignment w:val="auto"/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</w:rPr>
      </w:pP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  <w:lang w:eastAsia="zh-CN"/>
        </w:rPr>
        <w:t>（三）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</w:rPr>
        <w:t>营业执照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</w:rPr>
        <w:t>核准变更登记通知书等证件复印件；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750" w:line="560" w:lineRule="exact"/>
        <w:ind w:leftChars="200" w:firstLine="320" w:firstLineChars="100"/>
        <w:contextualSpacing/>
        <w:jc w:val="both"/>
        <w:textAlignment w:val="auto"/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</w:rPr>
        <w:t>（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  <w:lang w:eastAsia="zh-CN"/>
        </w:rPr>
        <w:t>四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</w:rPr>
        <w:t>）区域性股权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  <w:lang w:eastAsia="zh-CN"/>
        </w:rPr>
        <w:t>市场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</w:rPr>
        <w:t>出具的挂牌证书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  <w:lang w:eastAsia="zh-CN"/>
        </w:rPr>
        <w:t>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750" w:line="560" w:lineRule="exact"/>
        <w:ind w:leftChars="200" w:firstLine="320" w:firstLineChars="100"/>
        <w:contextualSpacing/>
        <w:jc w:val="both"/>
        <w:textAlignment w:val="auto"/>
        <w:rPr>
          <w:rFonts w:hint="eastAsia" w:ascii="仿宋" w:hAnsi="仿宋" w:eastAsia="仿宋" w:cs="仿宋"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</w:rPr>
        <w:t>以上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shd w:val="clear" w:color="auto" w:fill="FFFFFF"/>
        </w:rPr>
        <w:t>所提交</w:t>
      </w:r>
      <w:r>
        <w:rPr>
          <w:rFonts w:hint="eastAsia" w:ascii="仿宋" w:hAnsi="仿宋" w:eastAsia="仿宋" w:cs="仿宋"/>
          <w:i w:val="0"/>
          <w:caps w:val="0"/>
          <w:spacing w:val="0"/>
          <w:sz w:val="32"/>
          <w:szCs w:val="32"/>
          <w:shd w:val="clear"/>
        </w:rPr>
        <w:t>材料复印件加盖企业公章，原件备查</w:t>
      </w:r>
      <w:r>
        <w:rPr>
          <w:rFonts w:hint="default" w:asciiTheme="minorHAnsi" w:hAnsiTheme="minorHAnsi" w:eastAsiaTheme="minorEastAsia" w:cstheme="minorBidi"/>
          <w:i w:val="0"/>
          <w:caps w:val="0"/>
          <w:spacing w:val="0"/>
          <w:sz w:val="24"/>
          <w:szCs w:val="24"/>
          <w:shd w:val="clear"/>
        </w:rPr>
        <w:t>。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shd w:val="clear" w:color="auto" w:fill="FFFFFF"/>
        </w:rPr>
        <w:t>申报材料一律用A4纸张尺寸打印，按以上顺序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shd w:val="clear" w:color="auto" w:fill="FFFFFF"/>
          <w:lang w:eastAsia="zh-CN"/>
        </w:rPr>
        <w:t>装订</w:t>
      </w:r>
      <w:r>
        <w:rPr>
          <w:rFonts w:hint="eastAsia" w:ascii="仿宋" w:hAnsi="仿宋" w:eastAsia="仿宋" w:cs="仿宋"/>
          <w:bCs/>
          <w:color w:val="000000"/>
          <w:sz w:val="32"/>
          <w:szCs w:val="32"/>
          <w:shd w:val="clear" w:color="auto" w:fill="FFFFFF"/>
        </w:rPr>
        <w:t>成册（一式3份）。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750" w:line="560" w:lineRule="exact"/>
        <w:ind w:left="310" w:leftChars="0" w:firstLine="320" w:firstLineChars="0"/>
        <w:contextualSpacing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shd w:val="clear"/>
        </w:rPr>
        <w:t>奖励审核程序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750" w:line="560" w:lineRule="exact"/>
        <w:ind w:firstLine="640" w:firstLineChars="200"/>
        <w:contextualSpacing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初步审核。区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科技创新局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对企业申报的资料进行初步审核，提出初审意见，综合区财政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局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的意见后上报区管委会审定。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750" w:line="560" w:lineRule="exact"/>
        <w:ind w:left="0" w:leftChars="0" w:firstLine="640" w:firstLineChars="200"/>
        <w:contextualSpacing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批准。根据区管委会最终审核意见，准予扶持奖励的，区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  <w:t>科技创新局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</w:rPr>
        <w:t>在30个工作日内办理相关扶持奖励资金拨付手续；不予扶持奖励的，向申请企业做出书面说明。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750" w:line="560" w:lineRule="exact"/>
        <w:ind w:leftChars="200" w:firstLine="320" w:firstLineChars="100"/>
        <w:contextualSpacing/>
        <w:jc w:val="both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eastAsia="zh-CN"/>
        </w:rPr>
        <w:t>八、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  <w:t>监督管理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750" w:line="560" w:lineRule="exact"/>
        <w:ind w:firstLine="640" w:firstLineChars="200"/>
        <w:contextualSpacing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企业应如实填写申请材料，对隐瞒真实情况、提供虚假材料或采取其它欺诈手段套取资金的，将追回已拨付资金，同时取消该企业今后申请各类财政补贴资金的资格。情节严重的，应追究相关责任人的法律责任。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750" w:line="560" w:lineRule="exact"/>
        <w:ind w:leftChars="200" w:firstLine="320" w:firstLineChars="100"/>
        <w:contextualSpacing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750" w:line="560" w:lineRule="exact"/>
        <w:ind w:leftChars="100"/>
        <w:contextualSpacing/>
        <w:jc w:val="both"/>
        <w:textAlignment w:val="auto"/>
        <w:rPr>
          <w:rFonts w:hint="default" w:ascii="仿宋" w:hAnsi="仿宋" w:eastAsia="仿宋" w:cs="仿宋"/>
          <w:b/>
          <w:bCs w:val="0"/>
          <w:sz w:val="32"/>
          <w:szCs w:val="32"/>
          <w:shd w:val="clear"/>
          <w:lang w:val="en-US" w:eastAsia="zh-CN"/>
        </w:rPr>
      </w:pPr>
    </w:p>
    <w:p>
      <w:pPr>
        <w:pStyle w:val="7"/>
        <w:widowControl/>
        <w:spacing w:after="750" w:line="360" w:lineRule="auto"/>
        <w:contextualSpacing/>
        <w:jc w:val="both"/>
        <w:rPr>
          <w:rFonts w:cs="宋体" w:asciiTheme="minorEastAsia" w:hAnsiTheme="minorEastAsia"/>
          <w:b/>
          <w:bCs/>
          <w:color w:val="000000"/>
          <w:sz w:val="28"/>
          <w:szCs w:val="28"/>
          <w:shd w:val="clear" w:color="auto" w:fill="FFFFFF"/>
        </w:rPr>
      </w:pPr>
    </w:p>
    <w:sectPr>
      <w:pgSz w:w="11906" w:h="16838"/>
      <w:pgMar w:top="2098" w:right="1474" w:bottom="1985" w:left="1588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7150ED0"/>
    <w:multiLevelType w:val="singleLevel"/>
    <w:tmpl w:val="F7150ED0"/>
    <w:lvl w:ilvl="0" w:tentative="0">
      <w:start w:val="6"/>
      <w:numFmt w:val="chineseCounting"/>
      <w:suff w:val="nothing"/>
      <w:lvlText w:val="%1、"/>
      <w:lvlJc w:val="left"/>
      <w:pPr>
        <w:ind w:left="-6"/>
      </w:pPr>
      <w:rPr>
        <w:rFonts w:hint="eastAsia"/>
        <w:b/>
        <w:bCs/>
      </w:rPr>
    </w:lvl>
  </w:abstractNum>
  <w:abstractNum w:abstractNumId="1">
    <w:nsid w:val="389F7CD1"/>
    <w:multiLevelType w:val="singleLevel"/>
    <w:tmpl w:val="389F7CD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38783EF"/>
    <w:multiLevelType w:val="singleLevel"/>
    <w:tmpl w:val="638783E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0C47"/>
    <w:rsid w:val="000145A9"/>
    <w:rsid w:val="0002580C"/>
    <w:rsid w:val="00030E12"/>
    <w:rsid w:val="00035857"/>
    <w:rsid w:val="00065AD3"/>
    <w:rsid w:val="00067B2D"/>
    <w:rsid w:val="00080EF5"/>
    <w:rsid w:val="00091922"/>
    <w:rsid w:val="000952D6"/>
    <w:rsid w:val="000A1BE9"/>
    <w:rsid w:val="000B1895"/>
    <w:rsid w:val="000C07E0"/>
    <w:rsid w:val="000C2126"/>
    <w:rsid w:val="000C3F56"/>
    <w:rsid w:val="000C7736"/>
    <w:rsid w:val="000C7C8B"/>
    <w:rsid w:val="000D3335"/>
    <w:rsid w:val="000D584F"/>
    <w:rsid w:val="000E46C0"/>
    <w:rsid w:val="001118EF"/>
    <w:rsid w:val="0014409B"/>
    <w:rsid w:val="00145489"/>
    <w:rsid w:val="0014624C"/>
    <w:rsid w:val="001537B3"/>
    <w:rsid w:val="001619DD"/>
    <w:rsid w:val="001634AE"/>
    <w:rsid w:val="00164F7F"/>
    <w:rsid w:val="00165F9A"/>
    <w:rsid w:val="00166D43"/>
    <w:rsid w:val="00172A27"/>
    <w:rsid w:val="001731B9"/>
    <w:rsid w:val="00184043"/>
    <w:rsid w:val="0018792C"/>
    <w:rsid w:val="00191742"/>
    <w:rsid w:val="001A6782"/>
    <w:rsid w:val="001C217B"/>
    <w:rsid w:val="001D0D7F"/>
    <w:rsid w:val="001E02F2"/>
    <w:rsid w:val="001E63B4"/>
    <w:rsid w:val="001E6C4A"/>
    <w:rsid w:val="002010B5"/>
    <w:rsid w:val="00212669"/>
    <w:rsid w:val="00217C70"/>
    <w:rsid w:val="00247139"/>
    <w:rsid w:val="0025515F"/>
    <w:rsid w:val="0026332E"/>
    <w:rsid w:val="00266198"/>
    <w:rsid w:val="002A2D07"/>
    <w:rsid w:val="002B169A"/>
    <w:rsid w:val="002B37FF"/>
    <w:rsid w:val="002E04D7"/>
    <w:rsid w:val="002E1B05"/>
    <w:rsid w:val="002E2F5D"/>
    <w:rsid w:val="002F72EA"/>
    <w:rsid w:val="00302AF2"/>
    <w:rsid w:val="00317687"/>
    <w:rsid w:val="00320AF0"/>
    <w:rsid w:val="003211A4"/>
    <w:rsid w:val="00327202"/>
    <w:rsid w:val="00332F21"/>
    <w:rsid w:val="003358E2"/>
    <w:rsid w:val="003367BB"/>
    <w:rsid w:val="00342914"/>
    <w:rsid w:val="0035036B"/>
    <w:rsid w:val="00364C8D"/>
    <w:rsid w:val="00394770"/>
    <w:rsid w:val="003C1BC5"/>
    <w:rsid w:val="00405B41"/>
    <w:rsid w:val="00447238"/>
    <w:rsid w:val="0045541D"/>
    <w:rsid w:val="004660B3"/>
    <w:rsid w:val="004711BD"/>
    <w:rsid w:val="00473988"/>
    <w:rsid w:val="004912EC"/>
    <w:rsid w:val="004A16C7"/>
    <w:rsid w:val="004A3295"/>
    <w:rsid w:val="004A50EA"/>
    <w:rsid w:val="004A682B"/>
    <w:rsid w:val="004A69D6"/>
    <w:rsid w:val="004B0797"/>
    <w:rsid w:val="004C729E"/>
    <w:rsid w:val="004D0058"/>
    <w:rsid w:val="004D20FE"/>
    <w:rsid w:val="004D6127"/>
    <w:rsid w:val="004F105C"/>
    <w:rsid w:val="004F1634"/>
    <w:rsid w:val="004F35D3"/>
    <w:rsid w:val="005241CC"/>
    <w:rsid w:val="005262C9"/>
    <w:rsid w:val="005270AF"/>
    <w:rsid w:val="00527F04"/>
    <w:rsid w:val="00534A38"/>
    <w:rsid w:val="00543AF5"/>
    <w:rsid w:val="00550A65"/>
    <w:rsid w:val="00553036"/>
    <w:rsid w:val="00555150"/>
    <w:rsid w:val="0055754E"/>
    <w:rsid w:val="005601DC"/>
    <w:rsid w:val="005652E3"/>
    <w:rsid w:val="00567F2B"/>
    <w:rsid w:val="00574AC3"/>
    <w:rsid w:val="005820B7"/>
    <w:rsid w:val="00592F75"/>
    <w:rsid w:val="0059439F"/>
    <w:rsid w:val="00597743"/>
    <w:rsid w:val="005A66CE"/>
    <w:rsid w:val="005D6922"/>
    <w:rsid w:val="005E5445"/>
    <w:rsid w:val="006064B6"/>
    <w:rsid w:val="00632272"/>
    <w:rsid w:val="00634016"/>
    <w:rsid w:val="00652ABF"/>
    <w:rsid w:val="00654D5A"/>
    <w:rsid w:val="00664C1B"/>
    <w:rsid w:val="0067205D"/>
    <w:rsid w:val="00675AEE"/>
    <w:rsid w:val="00675D13"/>
    <w:rsid w:val="00695682"/>
    <w:rsid w:val="0069655B"/>
    <w:rsid w:val="006A4883"/>
    <w:rsid w:val="006A587B"/>
    <w:rsid w:val="006C258D"/>
    <w:rsid w:val="006D592B"/>
    <w:rsid w:val="006E4200"/>
    <w:rsid w:val="006E5798"/>
    <w:rsid w:val="007127DF"/>
    <w:rsid w:val="00712B78"/>
    <w:rsid w:val="00715C9D"/>
    <w:rsid w:val="00722AA5"/>
    <w:rsid w:val="00742292"/>
    <w:rsid w:val="0075297B"/>
    <w:rsid w:val="007547F2"/>
    <w:rsid w:val="00757A73"/>
    <w:rsid w:val="007622F0"/>
    <w:rsid w:val="00795AB4"/>
    <w:rsid w:val="007B6ED3"/>
    <w:rsid w:val="007C4CEB"/>
    <w:rsid w:val="007C70CD"/>
    <w:rsid w:val="007E7AE5"/>
    <w:rsid w:val="007F2C1E"/>
    <w:rsid w:val="00821EA1"/>
    <w:rsid w:val="0083651E"/>
    <w:rsid w:val="0084483D"/>
    <w:rsid w:val="00851B5E"/>
    <w:rsid w:val="00852816"/>
    <w:rsid w:val="00874284"/>
    <w:rsid w:val="008823CC"/>
    <w:rsid w:val="00890AB7"/>
    <w:rsid w:val="0089483D"/>
    <w:rsid w:val="008A2756"/>
    <w:rsid w:val="008A6B17"/>
    <w:rsid w:val="008B06B3"/>
    <w:rsid w:val="008B3E3E"/>
    <w:rsid w:val="008D2DAD"/>
    <w:rsid w:val="008D4C18"/>
    <w:rsid w:val="008D6E77"/>
    <w:rsid w:val="008E5F74"/>
    <w:rsid w:val="008F4171"/>
    <w:rsid w:val="008F67A0"/>
    <w:rsid w:val="0091184D"/>
    <w:rsid w:val="00912FBB"/>
    <w:rsid w:val="00914785"/>
    <w:rsid w:val="00915FCC"/>
    <w:rsid w:val="009172F5"/>
    <w:rsid w:val="009203C3"/>
    <w:rsid w:val="00925CA7"/>
    <w:rsid w:val="0093780D"/>
    <w:rsid w:val="00943A9C"/>
    <w:rsid w:val="00945105"/>
    <w:rsid w:val="00945910"/>
    <w:rsid w:val="00950162"/>
    <w:rsid w:val="00966A84"/>
    <w:rsid w:val="009824FC"/>
    <w:rsid w:val="009849FF"/>
    <w:rsid w:val="00993776"/>
    <w:rsid w:val="009B0974"/>
    <w:rsid w:val="009B44FF"/>
    <w:rsid w:val="009C00BB"/>
    <w:rsid w:val="009D36B6"/>
    <w:rsid w:val="009E7BD1"/>
    <w:rsid w:val="009F7838"/>
    <w:rsid w:val="00A0015E"/>
    <w:rsid w:val="00A06666"/>
    <w:rsid w:val="00A0729A"/>
    <w:rsid w:val="00A14C85"/>
    <w:rsid w:val="00A15A14"/>
    <w:rsid w:val="00A22FE8"/>
    <w:rsid w:val="00A255A7"/>
    <w:rsid w:val="00A271E1"/>
    <w:rsid w:val="00A27CA8"/>
    <w:rsid w:val="00A41715"/>
    <w:rsid w:val="00A54C13"/>
    <w:rsid w:val="00A7210C"/>
    <w:rsid w:val="00A7738D"/>
    <w:rsid w:val="00AA2504"/>
    <w:rsid w:val="00AA4EEC"/>
    <w:rsid w:val="00AC289E"/>
    <w:rsid w:val="00AC3ECD"/>
    <w:rsid w:val="00AC63DE"/>
    <w:rsid w:val="00AD3EA5"/>
    <w:rsid w:val="00AE1678"/>
    <w:rsid w:val="00AE2B30"/>
    <w:rsid w:val="00AE7AA0"/>
    <w:rsid w:val="00AF2A6F"/>
    <w:rsid w:val="00AF6785"/>
    <w:rsid w:val="00AF7A64"/>
    <w:rsid w:val="00B10977"/>
    <w:rsid w:val="00B16F53"/>
    <w:rsid w:val="00B268EB"/>
    <w:rsid w:val="00B42D9A"/>
    <w:rsid w:val="00B50E6B"/>
    <w:rsid w:val="00B53175"/>
    <w:rsid w:val="00B6029F"/>
    <w:rsid w:val="00B6120A"/>
    <w:rsid w:val="00B6185B"/>
    <w:rsid w:val="00BC7E8C"/>
    <w:rsid w:val="00BD4BA5"/>
    <w:rsid w:val="00BE4731"/>
    <w:rsid w:val="00BE7EB4"/>
    <w:rsid w:val="00BF2499"/>
    <w:rsid w:val="00C067E1"/>
    <w:rsid w:val="00C26014"/>
    <w:rsid w:val="00C5543D"/>
    <w:rsid w:val="00C56998"/>
    <w:rsid w:val="00C63B8B"/>
    <w:rsid w:val="00C63C21"/>
    <w:rsid w:val="00C64474"/>
    <w:rsid w:val="00C75770"/>
    <w:rsid w:val="00C96267"/>
    <w:rsid w:val="00CB18DE"/>
    <w:rsid w:val="00CC6EFE"/>
    <w:rsid w:val="00CD1200"/>
    <w:rsid w:val="00CE4C67"/>
    <w:rsid w:val="00D129A5"/>
    <w:rsid w:val="00D23208"/>
    <w:rsid w:val="00D47ED7"/>
    <w:rsid w:val="00D679F7"/>
    <w:rsid w:val="00D932AC"/>
    <w:rsid w:val="00DA2B45"/>
    <w:rsid w:val="00DB14A3"/>
    <w:rsid w:val="00DB28D1"/>
    <w:rsid w:val="00DD0917"/>
    <w:rsid w:val="00DE4702"/>
    <w:rsid w:val="00E242DF"/>
    <w:rsid w:val="00E32431"/>
    <w:rsid w:val="00E37E60"/>
    <w:rsid w:val="00E539D2"/>
    <w:rsid w:val="00E54171"/>
    <w:rsid w:val="00E5493A"/>
    <w:rsid w:val="00E622C4"/>
    <w:rsid w:val="00E7023A"/>
    <w:rsid w:val="00E759FC"/>
    <w:rsid w:val="00E75BFF"/>
    <w:rsid w:val="00E75EF8"/>
    <w:rsid w:val="00E84083"/>
    <w:rsid w:val="00E912C2"/>
    <w:rsid w:val="00EB09E0"/>
    <w:rsid w:val="00EB399D"/>
    <w:rsid w:val="00EB44BE"/>
    <w:rsid w:val="00EC6D3A"/>
    <w:rsid w:val="00ED7D0B"/>
    <w:rsid w:val="00EE50D0"/>
    <w:rsid w:val="00EE51FB"/>
    <w:rsid w:val="00EF5BDD"/>
    <w:rsid w:val="00F02466"/>
    <w:rsid w:val="00F073FE"/>
    <w:rsid w:val="00F07770"/>
    <w:rsid w:val="00F13332"/>
    <w:rsid w:val="00F1584E"/>
    <w:rsid w:val="00F300E0"/>
    <w:rsid w:val="00F40D93"/>
    <w:rsid w:val="00F42F79"/>
    <w:rsid w:val="00F46724"/>
    <w:rsid w:val="00F542DA"/>
    <w:rsid w:val="00F54F95"/>
    <w:rsid w:val="00F707E1"/>
    <w:rsid w:val="00F7156E"/>
    <w:rsid w:val="00F73A4D"/>
    <w:rsid w:val="00F93197"/>
    <w:rsid w:val="00FA2D0E"/>
    <w:rsid w:val="00FA76D1"/>
    <w:rsid w:val="00FC0775"/>
    <w:rsid w:val="00FE7628"/>
    <w:rsid w:val="00FF1697"/>
    <w:rsid w:val="01EF26F1"/>
    <w:rsid w:val="01FE3450"/>
    <w:rsid w:val="06CD70A6"/>
    <w:rsid w:val="07C11433"/>
    <w:rsid w:val="090E6E1D"/>
    <w:rsid w:val="092A1058"/>
    <w:rsid w:val="0C1A18FC"/>
    <w:rsid w:val="0E3A19ED"/>
    <w:rsid w:val="0EF3039E"/>
    <w:rsid w:val="12D84707"/>
    <w:rsid w:val="160C6C6B"/>
    <w:rsid w:val="189F1025"/>
    <w:rsid w:val="18CB46D8"/>
    <w:rsid w:val="18E42F08"/>
    <w:rsid w:val="191E7172"/>
    <w:rsid w:val="198E0942"/>
    <w:rsid w:val="1AD07E82"/>
    <w:rsid w:val="1C546896"/>
    <w:rsid w:val="1DC60C48"/>
    <w:rsid w:val="20102FC4"/>
    <w:rsid w:val="208E011A"/>
    <w:rsid w:val="211C0639"/>
    <w:rsid w:val="23C25A23"/>
    <w:rsid w:val="249447E9"/>
    <w:rsid w:val="26284050"/>
    <w:rsid w:val="26E56D68"/>
    <w:rsid w:val="281C7ADC"/>
    <w:rsid w:val="291F35D6"/>
    <w:rsid w:val="2CF1587B"/>
    <w:rsid w:val="2D952FC9"/>
    <w:rsid w:val="2DD00991"/>
    <w:rsid w:val="2F340FC5"/>
    <w:rsid w:val="320F34B2"/>
    <w:rsid w:val="37211D9C"/>
    <w:rsid w:val="37D87E21"/>
    <w:rsid w:val="3B9562BA"/>
    <w:rsid w:val="3DB63B43"/>
    <w:rsid w:val="3E2C01A5"/>
    <w:rsid w:val="3E932709"/>
    <w:rsid w:val="3F180EE7"/>
    <w:rsid w:val="3FB0013C"/>
    <w:rsid w:val="40B80EBA"/>
    <w:rsid w:val="41D07A77"/>
    <w:rsid w:val="41DC3185"/>
    <w:rsid w:val="42C462F7"/>
    <w:rsid w:val="44676EBC"/>
    <w:rsid w:val="453E1C17"/>
    <w:rsid w:val="47251DDA"/>
    <w:rsid w:val="47D448D6"/>
    <w:rsid w:val="49DA7A09"/>
    <w:rsid w:val="4CD27409"/>
    <w:rsid w:val="4DC17310"/>
    <w:rsid w:val="51C648C5"/>
    <w:rsid w:val="527D446F"/>
    <w:rsid w:val="52FF77E6"/>
    <w:rsid w:val="558915F1"/>
    <w:rsid w:val="564128B7"/>
    <w:rsid w:val="575A5DDF"/>
    <w:rsid w:val="59880E1B"/>
    <w:rsid w:val="59C74785"/>
    <w:rsid w:val="5A5B404B"/>
    <w:rsid w:val="5A73265E"/>
    <w:rsid w:val="5B83636B"/>
    <w:rsid w:val="5C0258CC"/>
    <w:rsid w:val="5CFC0C14"/>
    <w:rsid w:val="5D347A35"/>
    <w:rsid w:val="60DE1BC3"/>
    <w:rsid w:val="61F90B0B"/>
    <w:rsid w:val="631B3BFB"/>
    <w:rsid w:val="63E1537F"/>
    <w:rsid w:val="642A1EED"/>
    <w:rsid w:val="67E22106"/>
    <w:rsid w:val="6A2E46F0"/>
    <w:rsid w:val="6A306CC6"/>
    <w:rsid w:val="6BAC6841"/>
    <w:rsid w:val="6CA318FE"/>
    <w:rsid w:val="6CF170C9"/>
    <w:rsid w:val="6E4118D9"/>
    <w:rsid w:val="70775918"/>
    <w:rsid w:val="71E64ED7"/>
    <w:rsid w:val="720E085B"/>
    <w:rsid w:val="77345698"/>
    <w:rsid w:val="7BB4527A"/>
    <w:rsid w:val="7E2B53D2"/>
    <w:rsid w:val="7F5538F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iPriority="99" w:semiHidden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nhideWhenUsed="0" w:uiPriority="0" w:semiHidden="0" w:name="endnote text"/>
    <w:lsdException w:uiPriority="0" w:name="table of authorities"/>
    <w:lsdException w:uiPriority="0" w:name="macro"/>
    <w:lsdException w:unhideWhenUsed="0" w:uiPriority="0" w:semiHidden="0" w:name="toa heading"/>
    <w:lsdException w:unhideWhenUsed="0" w:uiPriority="0" w:semiHidden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ascii="Times New Roman" w:hAnsi="Times New Roman" w:eastAsia="宋体" w:cs="Times New Roman"/>
      <w:szCs w:val="21"/>
    </w:rPr>
  </w:style>
  <w:style w:type="paragraph" w:styleId="3">
    <w:name w:val="annotation text"/>
    <w:basedOn w:val="1"/>
    <w:link w:val="22"/>
    <w:qFormat/>
    <w:uiPriority w:val="0"/>
    <w:pPr>
      <w:jc w:val="left"/>
    </w:pPr>
  </w:style>
  <w:style w:type="paragraph" w:styleId="4">
    <w:name w:val="Balloon Text"/>
    <w:basedOn w:val="1"/>
    <w:link w:val="21"/>
    <w:unhideWhenUsed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styleId="5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paragraph" w:styleId="8">
    <w:name w:val="Title"/>
    <w:basedOn w:val="1"/>
    <w:next w:val="1"/>
    <w:link w:val="20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9">
    <w:name w:val="annotation subject"/>
    <w:basedOn w:val="3"/>
    <w:next w:val="3"/>
    <w:link w:val="23"/>
    <w:qFormat/>
    <w:uiPriority w:val="0"/>
    <w:rPr>
      <w:b/>
      <w:bCs/>
    </w:rPr>
  </w:style>
  <w:style w:type="table" w:styleId="11">
    <w:name w:val="Table Grid"/>
    <w:basedOn w:val="10"/>
    <w:unhideWhenUsed/>
    <w:qFormat/>
    <w:uiPriority w:val="9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FollowedHyperlink"/>
    <w:basedOn w:val="12"/>
    <w:qFormat/>
    <w:uiPriority w:val="0"/>
    <w:rPr>
      <w:color w:val="000000"/>
      <w:u w:val="none"/>
    </w:rPr>
  </w:style>
  <w:style w:type="character" w:styleId="15">
    <w:name w:val="Hyperlink"/>
    <w:basedOn w:val="12"/>
    <w:qFormat/>
    <w:uiPriority w:val="0"/>
    <w:rPr>
      <w:color w:val="000000"/>
      <w:u w:val="none"/>
    </w:rPr>
  </w:style>
  <w:style w:type="character" w:styleId="16">
    <w:name w:val="annotation reference"/>
    <w:basedOn w:val="12"/>
    <w:qFormat/>
    <w:uiPriority w:val="0"/>
    <w:rPr>
      <w:sz w:val="21"/>
      <w:szCs w:val="21"/>
    </w:rPr>
  </w:style>
  <w:style w:type="character" w:customStyle="1" w:styleId="17">
    <w:name w:val="trafficeducation_bg_top"/>
    <w:basedOn w:val="12"/>
    <w:qFormat/>
    <w:uiPriority w:val="0"/>
  </w:style>
  <w:style w:type="character" w:customStyle="1" w:styleId="18">
    <w:name w:val="页眉 字符"/>
    <w:basedOn w:val="12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字符"/>
    <w:basedOn w:val="12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标题 字符"/>
    <w:basedOn w:val="12"/>
    <w:link w:val="8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批注框文本 字符"/>
    <w:basedOn w:val="12"/>
    <w:link w:val="4"/>
    <w:qFormat/>
    <w:uiPriority w:val="99"/>
    <w:rPr>
      <w:rFonts w:eastAsia="仿宋_GB2312"/>
      <w:kern w:val="2"/>
      <w:sz w:val="18"/>
      <w:szCs w:val="18"/>
    </w:rPr>
  </w:style>
  <w:style w:type="character" w:customStyle="1" w:styleId="22">
    <w:name w:val="批注文字 字符"/>
    <w:basedOn w:val="12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3">
    <w:name w:val="批注主题 字符"/>
    <w:basedOn w:val="22"/>
    <w:link w:val="9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  <w:style w:type="paragraph" w:customStyle="1" w:styleId="25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26">
    <w:name w:val="正文 New New New New New New New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FF8C2C-ADCF-44D3-BC0A-AE8A5B8591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187</Words>
  <Characters>1072</Characters>
  <Lines>8</Lines>
  <Paragraphs>2</Paragraphs>
  <TotalTime>49</TotalTime>
  <ScaleCrop>false</ScaleCrop>
  <LinksUpToDate>false</LinksUpToDate>
  <CharactersWithSpaces>1257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2019-03-13T09:45:00Z</dcterms:created>
  <dc:creator>磊</dc:creator>
  <cp:lastModifiedBy>A大鸟萝莉妹</cp:lastModifiedBy>
  <cp:lastPrinted>2021-03-26T01:26:15Z</cp:lastPrinted>
  <dcterms:modified xsi:type="dcterms:W3CDTF">2021-03-26T01:36:06Z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