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Cs w:val="30"/>
          <w:lang w:val="en-US" w:eastAsia="zh-CN"/>
        </w:rPr>
      </w:pPr>
      <w:r>
        <w:rPr>
          <w:rFonts w:hint="eastAsia" w:ascii="黑体" w:hAnsi="黑体" w:eastAsia="黑体" w:cs="黑体"/>
          <w:szCs w:val="30"/>
          <w:lang w:eastAsia="zh-CN"/>
        </w:rPr>
        <w:t>附件</w:t>
      </w:r>
      <w:r>
        <w:rPr>
          <w:rFonts w:hint="eastAsia" w:ascii="黑体" w:hAnsi="黑体" w:eastAsia="黑体" w:cs="黑体"/>
          <w:szCs w:val="30"/>
          <w:lang w:val="en-US" w:eastAsia="zh-CN"/>
        </w:rPr>
        <w:t>1</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647055" cy="7983220"/>
            <wp:effectExtent l="0" t="0" r="10795" b="17780"/>
            <wp:docPr id="1" name="图片 1" descr="附件1-《关于做好2020年度职称评审工作的通知》（粤人社发[2020]142号）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1-《关于做好2020年度职称评审工作的通知》（粤人社发[2020]142号）_1"/>
                    <pic:cNvPicPr>
                      <a:picLocks noChangeAspect="1"/>
                    </pic:cNvPicPr>
                  </pic:nvPicPr>
                  <pic:blipFill>
                    <a:blip r:embed="rId8"/>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7" name="图片 2" descr="附件1-《关于做好2020年度职称评审工作的通知》（粤人社发[2020]142号）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附件1-《关于做好2020年度职称评审工作的通知》（粤人社发[2020]142号）_2"/>
                    <pic:cNvPicPr>
                      <a:picLocks noChangeAspect="1"/>
                    </pic:cNvPicPr>
                  </pic:nvPicPr>
                  <pic:blipFill>
                    <a:blip r:embed="rId9"/>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9" name="图片 3" descr="附件1-《关于做好2020年度职称评审工作的通知》（粤人社发[2020]142号）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附件1-《关于做好2020年度职称评审工作的通知》（粤人社发[2020]142号）_3"/>
                    <pic:cNvPicPr>
                      <a:picLocks noChangeAspect="1"/>
                    </pic:cNvPicPr>
                  </pic:nvPicPr>
                  <pic:blipFill>
                    <a:blip r:embed="rId10"/>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3" name="图片 4" descr="附件1-《关于做好2020年度职称评审工作的通知》（粤人社发[2020]142号）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附件1-《关于做好2020年度职称评审工作的通知》（粤人社发[2020]142号）_4"/>
                    <pic:cNvPicPr>
                      <a:picLocks noChangeAspect="1"/>
                    </pic:cNvPicPr>
                  </pic:nvPicPr>
                  <pic:blipFill>
                    <a:blip r:embed="rId11"/>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5" name="图片 5" descr="附件1-《关于做好2020年度职称评审工作的通知》（粤人社发[2020]142号）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1-《关于做好2020年度职称评审工作的通知》（粤人社发[2020]142号）_5"/>
                    <pic:cNvPicPr>
                      <a:picLocks noChangeAspect="1"/>
                    </pic:cNvPicPr>
                  </pic:nvPicPr>
                  <pic:blipFill>
                    <a:blip r:embed="rId12"/>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6" name="图片 6" descr="附件1-《关于做好2020年度职称评审工作的通知》（粤人社发[2020]142号）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1-《关于做好2020年度职称评审工作的通知》（粤人社发[2020]142号）_6"/>
                    <pic:cNvPicPr>
                      <a:picLocks noChangeAspect="1"/>
                    </pic:cNvPicPr>
                  </pic:nvPicPr>
                  <pic:blipFill>
                    <a:blip r:embed="rId13"/>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4" name="图片 7" descr="附件1-《关于做好2020年度职称评审工作的通知》（粤人社发[2020]142号）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附件1-《关于做好2020年度职称评审工作的通知》（粤人社发[2020]142号）_7"/>
                    <pic:cNvPicPr>
                      <a:picLocks noChangeAspect="1"/>
                    </pic:cNvPicPr>
                  </pic:nvPicPr>
                  <pic:blipFill>
                    <a:blip r:embed="rId14"/>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8" name="图片 8" descr="附件1-《关于做好2020年度职称评审工作的通知》（粤人社发[2020]142号）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1-《关于做好2020年度职称评审工作的通知》（粤人社发[2020]142号）_8"/>
                    <pic:cNvPicPr>
                      <a:picLocks noChangeAspect="1"/>
                    </pic:cNvPicPr>
                  </pic:nvPicPr>
                  <pic:blipFill>
                    <a:blip r:embed="rId15"/>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2" name="图片 9" descr="附件1-《关于做好2020年度职称评审工作的通知》（粤人社发[2020]142号）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附件1-《关于做好2020年度职称评审工作的通知》（粤人社发[2020]142号）_9"/>
                    <pic:cNvPicPr>
                      <a:picLocks noChangeAspect="1"/>
                    </pic:cNvPicPr>
                  </pic:nvPicPr>
                  <pic:blipFill>
                    <a:blip r:embed="rId16"/>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1" name="图片 10" descr="附件1-《关于做好2020年度职称评审工作的通知》（粤人社发[2020]142号）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附件1-《关于做好2020年度职称评审工作的通知》（粤人社发[2020]142号）_10"/>
                    <pic:cNvPicPr>
                      <a:picLocks noChangeAspect="1"/>
                    </pic:cNvPicPr>
                  </pic:nvPicPr>
                  <pic:blipFill>
                    <a:blip r:embed="rId17"/>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3" name="图片 11" descr="附件1-《关于做好2020年度职称评审工作的通知》（粤人社发[2020]142号）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附件1-《关于做好2020年度职称评审工作的通知》（粤人社发[2020]142号）_11"/>
                    <pic:cNvPicPr>
                      <a:picLocks noChangeAspect="1"/>
                    </pic:cNvPicPr>
                  </pic:nvPicPr>
                  <pic:blipFill>
                    <a:blip r:embed="rId18"/>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0" name="图片 12" descr="附件1-《关于做好2020年度职称评审工作的通知》（粤人社发[2020]142号）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附件1-《关于做好2020年度职称评审工作的通知》（粤人社发[2020]142号）_12"/>
                    <pic:cNvPicPr>
                      <a:picLocks noChangeAspect="1"/>
                    </pic:cNvPicPr>
                  </pic:nvPicPr>
                  <pic:blipFill>
                    <a:blip r:embed="rId19"/>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2" name="图片 13" descr="附件1-《关于做好2020年度职称评审工作的通知》（粤人社发[2020]142号）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附件1-《关于做好2020年度职称评审工作的通知》（粤人社发[2020]142号）_13"/>
                    <pic:cNvPicPr>
                      <a:picLocks noChangeAspect="1"/>
                    </pic:cNvPicPr>
                  </pic:nvPicPr>
                  <pic:blipFill>
                    <a:blip r:embed="rId20"/>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4" name="图片 14" descr="附件1-《关于做好2020年度职称评审工作的通知》（粤人社发[2020]142号）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件1-《关于做好2020年度职称评审工作的通知》（粤人社发[2020]142号）_14"/>
                    <pic:cNvPicPr>
                      <a:picLocks noChangeAspect="1"/>
                    </pic:cNvPicPr>
                  </pic:nvPicPr>
                  <pic:blipFill>
                    <a:blip r:embed="rId21"/>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5" name="图片 15" descr="附件1-《关于做好2020年度职称评审工作的通知》（粤人社发[2020]142号）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件1-《关于做好2020年度职称评审工作的通知》（粤人社发[2020]142号）_15"/>
                    <pic:cNvPicPr>
                      <a:picLocks noChangeAspect="1"/>
                    </pic:cNvPicPr>
                  </pic:nvPicPr>
                  <pic:blipFill>
                    <a:blip r:embed="rId22"/>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6" name="图片 16" descr="附件1-《关于做好2020年度职称评审工作的通知》（粤人社发[2020]142号）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件1-《关于做好2020年度职称评审工作的通知》（粤人社发[2020]142号）_16"/>
                    <pic:cNvPicPr>
                      <a:picLocks noChangeAspect="1"/>
                    </pic:cNvPicPr>
                  </pic:nvPicPr>
                  <pic:blipFill>
                    <a:blip r:embed="rId23"/>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7" name="图片 17" descr="附件1-《关于做好2020年度职称评审工作的通知》（粤人社发[2020]142号）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件1-《关于做好2020年度职称评审工作的通知》（粤人社发[2020]142号）_17"/>
                    <pic:cNvPicPr>
                      <a:picLocks noChangeAspect="1"/>
                    </pic:cNvPicPr>
                  </pic:nvPicPr>
                  <pic:blipFill>
                    <a:blip r:embed="rId24"/>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8" name="图片 18" descr="附件1-《关于做好2020年度职称评审工作的通知》（粤人社发[2020]142号）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1-《关于做好2020年度职称评审工作的通知》（粤人社发[2020]142号）_18"/>
                    <pic:cNvPicPr>
                      <a:picLocks noChangeAspect="1"/>
                    </pic:cNvPicPr>
                  </pic:nvPicPr>
                  <pic:blipFill>
                    <a:blip r:embed="rId25"/>
                    <a:stretch>
                      <a:fillRect/>
                    </a:stretch>
                  </pic:blipFill>
                  <pic:spPr>
                    <a:xfrm>
                      <a:off x="0" y="0"/>
                      <a:ext cx="5647055" cy="7983220"/>
                    </a:xfrm>
                    <a:prstGeom prst="rect">
                      <a:avLst/>
                    </a:prstGeom>
                    <a:noFill/>
                    <a:ln>
                      <a:noFill/>
                    </a:ln>
                  </pic:spPr>
                </pic:pic>
              </a:graphicData>
            </a:graphic>
          </wp:inline>
        </w:drawing>
      </w:r>
      <w:r>
        <w:rPr>
          <w:rFonts w:hint="default"/>
          <w:lang w:val="en-US" w:eastAsia="zh-CN"/>
        </w:rPr>
        <w:drawing>
          <wp:inline distT="0" distB="0" distL="114300" distR="114300">
            <wp:extent cx="5647055" cy="7983220"/>
            <wp:effectExtent l="0" t="0" r="10795" b="17780"/>
            <wp:docPr id="19" name="图片 19" descr="附件1-《关于做好2020年度职称评审工作的通知》（粤人社发[2020]142号）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1-《关于做好2020年度职称评审工作的通知》（粤人社发[2020]142号）_20"/>
                    <pic:cNvPicPr>
                      <a:picLocks noChangeAspect="1"/>
                    </pic:cNvPicPr>
                  </pic:nvPicPr>
                  <pic:blipFill>
                    <a:blip r:embed="rId26"/>
                    <a:stretch>
                      <a:fillRect/>
                    </a:stretch>
                  </pic:blipFill>
                  <pic:spPr>
                    <a:xfrm>
                      <a:off x="0" y="0"/>
                      <a:ext cx="5647055" cy="7983220"/>
                    </a:xfrm>
                    <a:prstGeom prst="rect">
                      <a:avLst/>
                    </a:prstGeom>
                    <a:noFill/>
                    <a:ln>
                      <a:noFill/>
                    </a:ln>
                  </pic:spPr>
                </pic:pic>
              </a:graphicData>
            </a:graphic>
          </wp:inline>
        </w:drawing>
      </w:r>
    </w:p>
    <w:p>
      <w:pPr>
        <w:rPr>
          <w:rFonts w:ascii="仿宋_GB2312"/>
          <w:szCs w:val="30"/>
        </w:rPr>
      </w:pPr>
    </w:p>
    <w:p>
      <w:pPr>
        <w:rPr>
          <w:rFonts w:hint="eastAsia" w:ascii="黑体" w:hAnsi="黑体" w:eastAsia="黑体" w:cs="黑体"/>
          <w:szCs w:val="30"/>
          <w:lang w:val="en-US" w:eastAsia="zh-CN"/>
        </w:rPr>
      </w:pPr>
      <w:r>
        <w:rPr>
          <w:rFonts w:hint="eastAsia" w:ascii="黑体" w:hAnsi="黑体" w:eastAsia="黑体" w:cs="黑体"/>
          <w:szCs w:val="30"/>
          <w:lang w:eastAsia="zh-CN"/>
        </w:rPr>
        <w:t>附件</w:t>
      </w:r>
      <w:r>
        <w:rPr>
          <w:rFonts w:hint="eastAsia" w:ascii="黑体" w:hAnsi="黑体" w:eastAsia="黑体" w:cs="黑体"/>
          <w:szCs w:val="30"/>
          <w:lang w:val="en-US" w:eastAsia="zh-CN"/>
        </w:rPr>
        <w:t>2</w:t>
      </w:r>
    </w:p>
    <w:p>
      <w:pPr>
        <w:pStyle w:val="2"/>
        <w:ind w:left="0" w:leftChars="0" w:firstLine="0" w:firstLineChars="0"/>
        <w:rPr>
          <w:rFonts w:hint="default"/>
          <w:lang w:val="en-US" w:eastAsia="zh-CN"/>
        </w:rPr>
      </w:pPr>
    </w:p>
    <w:p>
      <w:pPr>
        <w:rPr>
          <w:rFonts w:hint="eastAsia" w:ascii="仿宋_GB2312" w:eastAsia="仿宋_GB2312"/>
          <w:szCs w:val="30"/>
          <w:lang w:eastAsia="zh-CN"/>
        </w:rPr>
      </w:pPr>
      <w:r>
        <w:rPr>
          <w:rFonts w:hint="eastAsia" w:ascii="仿宋_GB2312" w:eastAsia="仿宋_GB2312"/>
          <w:szCs w:val="30"/>
          <w:lang w:eastAsia="zh-CN"/>
        </w:rPr>
        <w:drawing>
          <wp:inline distT="0" distB="0" distL="114300" distR="114300">
            <wp:extent cx="5647055" cy="7687310"/>
            <wp:effectExtent l="0" t="0" r="10795" b="8890"/>
            <wp:docPr id="20" name="图片 20" descr="附件2-《广东省标准化计量质量工程技术人才职称评价标准条件》的通知（粤人社规〔2019〕55号）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件2-《广东省标准化计量质量工程技术人才职称评价标准条件》的通知（粤人社规〔2019〕55号）_1"/>
                    <pic:cNvPicPr>
                      <a:picLocks noChangeAspect="1"/>
                    </pic:cNvPicPr>
                  </pic:nvPicPr>
                  <pic:blipFill>
                    <a:blip r:embed="rId27"/>
                    <a:stretch>
                      <a:fillRect/>
                    </a:stretch>
                  </pic:blipFill>
                  <pic:spPr>
                    <a:xfrm>
                      <a:off x="0" y="0"/>
                      <a:ext cx="5647055" cy="768731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21" name="图片 21" descr="附件2-《广东省标准化计量质量工程技术人才职称评价标准条件》的通知（粤人社规〔2019〕55号）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2-《广东省标准化计量质量工程技术人才职称评价标准条件》的通知（粤人社规〔2019〕55号）_2"/>
                    <pic:cNvPicPr>
                      <a:picLocks noChangeAspect="1"/>
                    </pic:cNvPicPr>
                  </pic:nvPicPr>
                  <pic:blipFill>
                    <a:blip r:embed="rId28"/>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22" name="图片 22" descr="附件2-《广东省标准化计量质量工程技术人才职称评价标准条件》的通知（粤人社规〔2019〕55号）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件2-《广东省标准化计量质量工程技术人才职称评价标准条件》的通知（粤人社规〔2019〕55号）_3"/>
                    <pic:cNvPicPr>
                      <a:picLocks noChangeAspect="1"/>
                    </pic:cNvPicPr>
                  </pic:nvPicPr>
                  <pic:blipFill>
                    <a:blip r:embed="rId29"/>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23" name="图片 23" descr="附件2-《广东省标准化计量质量工程技术人才职称评价标准条件》的通知（粤人社规〔2019〕55号）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件2-《广东省标准化计量质量工程技术人才职称评价标准条件》的通知（粤人社规〔2019〕55号）_4"/>
                    <pic:cNvPicPr>
                      <a:picLocks noChangeAspect="1"/>
                    </pic:cNvPicPr>
                  </pic:nvPicPr>
                  <pic:blipFill>
                    <a:blip r:embed="rId30"/>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24" name="图片 24" descr="附件2-《广东省标准化计量质量工程技术人才职称评价标准条件》的通知（粤人社规〔2019〕55号）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件2-《广东省标准化计量质量工程技术人才职称评价标准条件》的通知（粤人社规〔2019〕55号）_5"/>
                    <pic:cNvPicPr>
                      <a:picLocks noChangeAspect="1"/>
                    </pic:cNvPicPr>
                  </pic:nvPicPr>
                  <pic:blipFill>
                    <a:blip r:embed="rId31"/>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25" name="图片 25" descr="附件2-《广东省标准化计量质量工程技术人才职称评价标准条件》的通知（粤人社规〔2019〕55号）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件2-《广东省标准化计量质量工程技术人才职称评价标准条件》的通知（粤人社规〔2019〕55号）_6"/>
                    <pic:cNvPicPr>
                      <a:picLocks noChangeAspect="1"/>
                    </pic:cNvPicPr>
                  </pic:nvPicPr>
                  <pic:blipFill>
                    <a:blip r:embed="rId32"/>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26" name="图片 26" descr="附件2-《广东省标准化计量质量工程技术人才职称评价标准条件》的通知（粤人社规〔2019〕55号）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附件2-《广东省标准化计量质量工程技术人才职称评价标准条件》的通知（粤人社规〔2019〕55号）_7"/>
                    <pic:cNvPicPr>
                      <a:picLocks noChangeAspect="1"/>
                    </pic:cNvPicPr>
                  </pic:nvPicPr>
                  <pic:blipFill>
                    <a:blip r:embed="rId33"/>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27" name="图片 27" descr="附件2-《广东省标准化计量质量工程技术人才职称评价标准条件》的通知（粤人社规〔2019〕55号）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附件2-《广东省标准化计量质量工程技术人才职称评价标准条件》的通知（粤人社规〔2019〕55号）_8"/>
                    <pic:cNvPicPr>
                      <a:picLocks noChangeAspect="1"/>
                    </pic:cNvPicPr>
                  </pic:nvPicPr>
                  <pic:blipFill>
                    <a:blip r:embed="rId34"/>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28" name="图片 28" descr="附件2-《广东省标准化计量质量工程技术人才职称评价标准条件》的通知（粤人社规〔2019〕55号）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2-《广东省标准化计量质量工程技术人才职称评价标准条件》的通知（粤人社规〔2019〕55号）_9"/>
                    <pic:cNvPicPr>
                      <a:picLocks noChangeAspect="1"/>
                    </pic:cNvPicPr>
                  </pic:nvPicPr>
                  <pic:blipFill>
                    <a:blip r:embed="rId35"/>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29" name="图片 29" descr="附件2-《广东省标准化计量质量工程技术人才职称评价标准条件》的通知（粤人社规〔2019〕55号）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2-《广东省标准化计量质量工程技术人才职称评价标准条件》的通知（粤人社规〔2019〕55号）_10"/>
                    <pic:cNvPicPr>
                      <a:picLocks noChangeAspect="1"/>
                    </pic:cNvPicPr>
                  </pic:nvPicPr>
                  <pic:blipFill>
                    <a:blip r:embed="rId36"/>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0" name="图片 30" descr="附件2-《广东省标准化计量质量工程技术人才职称评价标准条件》的通知（粤人社规〔2019〕55号）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2-《广东省标准化计量质量工程技术人才职称评价标准条件》的通知（粤人社规〔2019〕55号）_11"/>
                    <pic:cNvPicPr>
                      <a:picLocks noChangeAspect="1"/>
                    </pic:cNvPicPr>
                  </pic:nvPicPr>
                  <pic:blipFill>
                    <a:blip r:embed="rId37"/>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1" name="图片 31" descr="附件2-《广东省标准化计量质量工程技术人才职称评价标准条件》的通知（粤人社规〔2019〕55号）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2-《广东省标准化计量质量工程技术人才职称评价标准条件》的通知（粤人社规〔2019〕55号）_12"/>
                    <pic:cNvPicPr>
                      <a:picLocks noChangeAspect="1"/>
                    </pic:cNvPicPr>
                  </pic:nvPicPr>
                  <pic:blipFill>
                    <a:blip r:embed="rId38"/>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2" name="图片 32" descr="附件2-《广东省标准化计量质量工程技术人才职称评价标准条件》的通知（粤人社规〔2019〕55号）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件2-《广东省标准化计量质量工程技术人才职称评价标准条件》的通知（粤人社规〔2019〕55号）_13"/>
                    <pic:cNvPicPr>
                      <a:picLocks noChangeAspect="1"/>
                    </pic:cNvPicPr>
                  </pic:nvPicPr>
                  <pic:blipFill>
                    <a:blip r:embed="rId39"/>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3" name="图片 33" descr="附件2-《广东省标准化计量质量工程技术人才职称评价标准条件》的通知（粤人社规〔2019〕55号）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2-《广东省标准化计量质量工程技术人才职称评价标准条件》的通知（粤人社规〔2019〕55号）_14"/>
                    <pic:cNvPicPr>
                      <a:picLocks noChangeAspect="1"/>
                    </pic:cNvPicPr>
                  </pic:nvPicPr>
                  <pic:blipFill>
                    <a:blip r:embed="rId40"/>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4" name="图片 34" descr="附件2-《广东省标准化计量质量工程技术人才职称评价标准条件》的通知（粤人社规〔2019〕55号）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2-《广东省标准化计量质量工程技术人才职称评价标准条件》的通知（粤人社规〔2019〕55号）_15"/>
                    <pic:cNvPicPr>
                      <a:picLocks noChangeAspect="1"/>
                    </pic:cNvPicPr>
                  </pic:nvPicPr>
                  <pic:blipFill>
                    <a:blip r:embed="rId41"/>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5" name="图片 35" descr="附件2-《广东省标准化计量质量工程技术人才职称评价标准条件》的通知（粤人社规〔2019〕55号）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件2-《广东省标准化计量质量工程技术人才职称评价标准条件》的通知（粤人社规〔2019〕55号）_16"/>
                    <pic:cNvPicPr>
                      <a:picLocks noChangeAspect="1"/>
                    </pic:cNvPicPr>
                  </pic:nvPicPr>
                  <pic:blipFill>
                    <a:blip r:embed="rId42"/>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6" name="图片 36" descr="附件2-《广东省标准化计量质量工程技术人才职称评价标准条件》的通知（粤人社规〔2019〕55号）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附件2-《广东省标准化计量质量工程技术人才职称评价标准条件》的通知（粤人社规〔2019〕55号）_17"/>
                    <pic:cNvPicPr>
                      <a:picLocks noChangeAspect="1"/>
                    </pic:cNvPicPr>
                  </pic:nvPicPr>
                  <pic:blipFill>
                    <a:blip r:embed="rId43"/>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7" name="图片 37" descr="附件2-《广东省标准化计量质量工程技术人才职称评价标准条件》的通知（粤人社规〔2019〕55号）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件2-《广东省标准化计量质量工程技术人才职称评价标准条件》的通知（粤人社规〔2019〕55号）_18"/>
                    <pic:cNvPicPr>
                      <a:picLocks noChangeAspect="1"/>
                    </pic:cNvPicPr>
                  </pic:nvPicPr>
                  <pic:blipFill>
                    <a:blip r:embed="rId44"/>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8" name="图片 38" descr="附件2-《广东省标准化计量质量工程技术人才职称评价标准条件》的通知（粤人社规〔2019〕55号）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附件2-《广东省标准化计量质量工程技术人才职称评价标准条件》的通知（粤人社规〔2019〕55号）_19"/>
                    <pic:cNvPicPr>
                      <a:picLocks noChangeAspect="1"/>
                    </pic:cNvPicPr>
                  </pic:nvPicPr>
                  <pic:blipFill>
                    <a:blip r:embed="rId45"/>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39" name="图片 39" descr="附件2-《广东省标准化计量质量工程技术人才职称评价标准条件》的通知（粤人社规〔2019〕55号）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附件2-《广东省标准化计量质量工程技术人才职称评价标准条件》的通知（粤人社规〔2019〕55号）_20"/>
                    <pic:cNvPicPr>
                      <a:picLocks noChangeAspect="1"/>
                    </pic:cNvPicPr>
                  </pic:nvPicPr>
                  <pic:blipFill>
                    <a:blip r:embed="rId46"/>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0" name="图片 40" descr="附件2-《广东省标准化计量质量工程技术人才职称评价标准条件》的通知（粤人社规〔2019〕55号）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附件2-《广东省标准化计量质量工程技术人才职称评价标准条件》的通知（粤人社规〔2019〕55号）_21"/>
                    <pic:cNvPicPr>
                      <a:picLocks noChangeAspect="1"/>
                    </pic:cNvPicPr>
                  </pic:nvPicPr>
                  <pic:blipFill>
                    <a:blip r:embed="rId47"/>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1" name="图片 41" descr="附件2-《广东省标准化计量质量工程技术人才职称评价标准条件》的通知（粤人社规〔2019〕55号）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附件2-《广东省标准化计量质量工程技术人才职称评价标准条件》的通知（粤人社规〔2019〕55号）_22"/>
                    <pic:cNvPicPr>
                      <a:picLocks noChangeAspect="1"/>
                    </pic:cNvPicPr>
                  </pic:nvPicPr>
                  <pic:blipFill>
                    <a:blip r:embed="rId48"/>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2" name="图片 42" descr="附件2-《广东省标准化计量质量工程技术人才职称评价标准条件》的通知（粤人社规〔2019〕55号）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附件2-《广东省标准化计量质量工程技术人才职称评价标准条件》的通知（粤人社规〔2019〕55号）_23"/>
                    <pic:cNvPicPr>
                      <a:picLocks noChangeAspect="1"/>
                    </pic:cNvPicPr>
                  </pic:nvPicPr>
                  <pic:blipFill>
                    <a:blip r:embed="rId49"/>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3" name="图片 43" descr="附件2-《广东省标准化计量质量工程技术人才职称评价标准条件》的通知（粤人社规〔2019〕55号）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附件2-《广东省标准化计量质量工程技术人才职称评价标准条件》的通知（粤人社规〔2019〕55号）_24"/>
                    <pic:cNvPicPr>
                      <a:picLocks noChangeAspect="1"/>
                    </pic:cNvPicPr>
                  </pic:nvPicPr>
                  <pic:blipFill>
                    <a:blip r:embed="rId50"/>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4" name="图片 44" descr="附件2-《广东省标准化计量质量工程技术人才职称评价标准条件》的通知（粤人社规〔2019〕55号）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附件2-《广东省标准化计量质量工程技术人才职称评价标准条件》的通知（粤人社规〔2019〕55号）_25"/>
                    <pic:cNvPicPr>
                      <a:picLocks noChangeAspect="1"/>
                    </pic:cNvPicPr>
                  </pic:nvPicPr>
                  <pic:blipFill>
                    <a:blip r:embed="rId51"/>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5" name="图片 45" descr="附件2-《广东省标准化计量质量工程技术人才职称评价标准条件》的通知（粤人社规〔2019〕55号）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附件2-《广东省标准化计量质量工程技术人才职称评价标准条件》的通知（粤人社规〔2019〕55号）_26"/>
                    <pic:cNvPicPr>
                      <a:picLocks noChangeAspect="1"/>
                    </pic:cNvPicPr>
                  </pic:nvPicPr>
                  <pic:blipFill>
                    <a:blip r:embed="rId52"/>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6" name="图片 46" descr="附件2-《广东省标准化计量质量工程技术人才职称评价标准条件》的通知（粤人社规〔2019〕55号）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附件2-《广东省标准化计量质量工程技术人才职称评价标准条件》的通知（粤人社规〔2019〕55号）_27"/>
                    <pic:cNvPicPr>
                      <a:picLocks noChangeAspect="1"/>
                    </pic:cNvPicPr>
                  </pic:nvPicPr>
                  <pic:blipFill>
                    <a:blip r:embed="rId53"/>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7" name="图片 47" descr="附件2-《广东省标准化计量质量工程技术人才职称评价标准条件》的通知（粤人社规〔2019〕55号）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附件2-《广东省标准化计量质量工程技术人才职称评价标准条件》的通知（粤人社规〔2019〕55号）_28"/>
                    <pic:cNvPicPr>
                      <a:picLocks noChangeAspect="1"/>
                    </pic:cNvPicPr>
                  </pic:nvPicPr>
                  <pic:blipFill>
                    <a:blip r:embed="rId54"/>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8" name="图片 48" descr="附件2-《广东省标准化计量质量工程技术人才职称评价标准条件》的通知（粤人社规〔2019〕55号）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附件2-《广东省标准化计量质量工程技术人才职称评价标准条件》的通知（粤人社规〔2019〕55号）_29"/>
                    <pic:cNvPicPr>
                      <a:picLocks noChangeAspect="1"/>
                    </pic:cNvPicPr>
                  </pic:nvPicPr>
                  <pic:blipFill>
                    <a:blip r:embed="rId55"/>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49" name="图片 49" descr="附件2-《广东省标准化计量质量工程技术人才职称评价标准条件》的通知（粤人社规〔2019〕55号）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附件2-《广东省标准化计量质量工程技术人才职称评价标准条件》的通知（粤人社规〔2019〕55号）_30"/>
                    <pic:cNvPicPr>
                      <a:picLocks noChangeAspect="1"/>
                    </pic:cNvPicPr>
                  </pic:nvPicPr>
                  <pic:blipFill>
                    <a:blip r:embed="rId56"/>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50" name="图片 50" descr="附件2-《广东省标准化计量质量工程技术人才职称评价标准条件》的通知（粤人社规〔2019〕55号）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附件2-《广东省标准化计量质量工程技术人才职称评价标准条件》的通知（粤人社规〔2019〕55号）_31"/>
                    <pic:cNvPicPr>
                      <a:picLocks noChangeAspect="1"/>
                    </pic:cNvPicPr>
                  </pic:nvPicPr>
                  <pic:blipFill>
                    <a:blip r:embed="rId57"/>
                    <a:stretch>
                      <a:fillRect/>
                    </a:stretch>
                  </pic:blipFill>
                  <pic:spPr>
                    <a:xfrm>
                      <a:off x="0" y="0"/>
                      <a:ext cx="5647055" cy="7987030"/>
                    </a:xfrm>
                    <a:prstGeom prst="rect">
                      <a:avLst/>
                    </a:prstGeom>
                    <a:noFill/>
                    <a:ln>
                      <a:noFill/>
                    </a:ln>
                  </pic:spPr>
                </pic:pic>
              </a:graphicData>
            </a:graphic>
          </wp:inline>
        </w:drawing>
      </w:r>
      <w:r>
        <w:rPr>
          <w:rFonts w:hint="eastAsia" w:ascii="仿宋_GB2312" w:eastAsia="仿宋_GB2312"/>
          <w:szCs w:val="30"/>
          <w:lang w:eastAsia="zh-CN"/>
        </w:rPr>
        <w:drawing>
          <wp:inline distT="0" distB="0" distL="114300" distR="114300">
            <wp:extent cx="5647055" cy="7987030"/>
            <wp:effectExtent l="0" t="0" r="10795" b="13970"/>
            <wp:docPr id="51" name="图片 51" descr="附件2-《广东省标准化计量质量工程技术人才职称评价标准条件》的通知（粤人社规〔2019〕55号）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附件2-《广东省标准化计量质量工程技术人才职称评价标准条件》的通知（粤人社规〔2019〕55号）_32"/>
                    <pic:cNvPicPr>
                      <a:picLocks noChangeAspect="1"/>
                    </pic:cNvPicPr>
                  </pic:nvPicPr>
                  <pic:blipFill>
                    <a:blip r:embed="rId58"/>
                    <a:stretch>
                      <a:fillRect/>
                    </a:stretch>
                  </pic:blipFill>
                  <pic:spPr>
                    <a:xfrm>
                      <a:off x="0" y="0"/>
                      <a:ext cx="5647055" cy="7987030"/>
                    </a:xfrm>
                    <a:prstGeom prst="rect">
                      <a:avLst/>
                    </a:prstGeom>
                    <a:noFill/>
                    <a:ln>
                      <a:noFill/>
                    </a:ln>
                  </pic:spPr>
                </pic:pic>
              </a:graphicData>
            </a:graphic>
          </wp:inline>
        </w:drawing>
      </w:r>
    </w:p>
    <w:p>
      <w:pPr>
        <w:rPr>
          <w:rFonts w:ascii="仿宋_GB2312"/>
          <w:szCs w:val="30"/>
        </w:rPr>
      </w:pPr>
    </w:p>
    <w:p>
      <w:pPr>
        <w:rPr>
          <w:rFonts w:hint="eastAsia" w:ascii="黑体" w:hAnsi="黑体" w:eastAsia="黑体" w:cs="黑体"/>
          <w:szCs w:val="30"/>
          <w:lang w:val="en-US" w:eastAsia="zh-CN"/>
        </w:rPr>
      </w:pPr>
      <w:r>
        <w:rPr>
          <w:rFonts w:hint="eastAsia" w:ascii="黑体" w:hAnsi="黑体" w:eastAsia="黑体" w:cs="黑体"/>
          <w:szCs w:val="30"/>
          <w:lang w:eastAsia="zh-CN"/>
        </w:rPr>
        <w:t>附件</w:t>
      </w:r>
      <w:r>
        <w:rPr>
          <w:rFonts w:hint="eastAsia" w:ascii="黑体" w:hAnsi="黑体" w:eastAsia="黑体" w:cs="黑体"/>
          <w:szCs w:val="30"/>
          <w:lang w:val="en-US" w:eastAsia="zh-CN"/>
        </w:rPr>
        <w:t>3</w:t>
      </w:r>
    </w:p>
    <w:p>
      <w:pPr>
        <w:widowControl w:val="0"/>
        <w:ind w:firstLine="0" w:firstLineChars="0"/>
        <w:jc w:val="center"/>
        <w:rPr>
          <w:rFonts w:hint="default" w:ascii="Times New Roman" w:hAnsi="Times New Roman" w:eastAsia="方正小标宋简体" w:cs="Times New Roman"/>
          <w:kern w:val="2"/>
          <w:sz w:val="32"/>
          <w:szCs w:val="40"/>
          <w:lang w:val="en-US" w:eastAsia="zh-CN" w:bidi="ar-SA"/>
        </w:rPr>
      </w:pPr>
      <w:r>
        <w:rPr>
          <w:rFonts w:hint="default" w:ascii="Times New Roman" w:hAnsi="Times New Roman" w:eastAsia="方正小标宋简体" w:cs="Times New Roman"/>
          <w:kern w:val="2"/>
          <w:sz w:val="32"/>
          <w:szCs w:val="40"/>
          <w:lang w:val="en-US" w:eastAsia="zh-CN" w:bidi="ar-SA"/>
        </w:rPr>
        <w:t>专业技术人员继续教育学习承诺书</w:t>
      </w:r>
    </w:p>
    <w:p>
      <w:pPr>
        <w:widowControl w:val="0"/>
        <w:ind w:firstLine="640" w:firstLineChars="200"/>
        <w:jc w:val="both"/>
        <w:rPr>
          <w:rFonts w:hint="default" w:ascii="Times New Roman" w:hAnsi="Times New Roman" w:eastAsia="方正小标宋简体" w:cs="Times New Roman"/>
          <w:kern w:val="2"/>
          <w:sz w:val="32"/>
          <w:szCs w:val="40"/>
          <w:lang w:val="en-US" w:eastAsia="zh-CN" w:bidi="ar-SA"/>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2424"/>
        <w:gridCol w:w="1428"/>
        <w:gridCol w:w="2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699" w:type="dxa"/>
            <w:noWrap w:val="0"/>
            <w:vAlign w:val="center"/>
          </w:tcPr>
          <w:p>
            <w:pPr>
              <w:jc w:val="center"/>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姓 名</w:t>
            </w:r>
          </w:p>
        </w:tc>
        <w:tc>
          <w:tcPr>
            <w:tcW w:w="2424" w:type="dxa"/>
            <w:noWrap w:val="0"/>
            <w:vAlign w:val="center"/>
          </w:tcPr>
          <w:p>
            <w:pPr>
              <w:jc w:val="center"/>
              <w:rPr>
                <w:rFonts w:hint="default" w:ascii="Times New Roman" w:hAnsi="Times New Roman" w:eastAsia="仿宋" w:cs="Times New Roman"/>
                <w:sz w:val="28"/>
                <w:szCs w:val="36"/>
                <w:vertAlign w:val="baseline"/>
              </w:rPr>
            </w:pPr>
          </w:p>
        </w:tc>
        <w:tc>
          <w:tcPr>
            <w:tcW w:w="1428" w:type="dxa"/>
            <w:noWrap w:val="0"/>
            <w:vAlign w:val="center"/>
          </w:tcPr>
          <w:p>
            <w:pPr>
              <w:jc w:val="center"/>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工作单位</w:t>
            </w:r>
          </w:p>
        </w:tc>
        <w:tc>
          <w:tcPr>
            <w:tcW w:w="2971" w:type="dxa"/>
            <w:noWrap w:val="0"/>
            <w:vAlign w:val="top"/>
          </w:tcPr>
          <w:p>
            <w:pPr>
              <w:jc w:val="center"/>
              <w:rPr>
                <w:rFonts w:hint="default" w:ascii="Times New Roman" w:hAnsi="Times New Roman" w:eastAsia="仿宋" w:cs="Times New Roman"/>
                <w:sz w:val="28"/>
                <w:szCs w:val="3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noWrap w:val="0"/>
            <w:vAlign w:val="center"/>
          </w:tcPr>
          <w:p>
            <w:pPr>
              <w:jc w:val="center"/>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现从事专业</w:t>
            </w:r>
          </w:p>
        </w:tc>
        <w:tc>
          <w:tcPr>
            <w:tcW w:w="2424" w:type="dxa"/>
            <w:noWrap w:val="0"/>
            <w:vAlign w:val="center"/>
          </w:tcPr>
          <w:p>
            <w:pPr>
              <w:jc w:val="center"/>
              <w:rPr>
                <w:rFonts w:hint="default" w:ascii="Times New Roman" w:hAnsi="Times New Roman" w:eastAsia="仿宋" w:cs="Times New Roman"/>
                <w:sz w:val="28"/>
                <w:szCs w:val="36"/>
                <w:vertAlign w:val="baseline"/>
              </w:rPr>
            </w:pPr>
          </w:p>
        </w:tc>
        <w:tc>
          <w:tcPr>
            <w:tcW w:w="14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申报专业</w:t>
            </w:r>
          </w:p>
        </w:tc>
        <w:tc>
          <w:tcPr>
            <w:tcW w:w="2971" w:type="dxa"/>
            <w:noWrap w:val="0"/>
            <w:vAlign w:val="top"/>
          </w:tcPr>
          <w:p>
            <w:pPr>
              <w:jc w:val="center"/>
              <w:rPr>
                <w:rFonts w:hint="default" w:ascii="Times New Roman" w:hAnsi="Times New Roman" w:eastAsia="仿宋" w:cs="Times New Roman"/>
                <w:sz w:val="28"/>
                <w:szCs w:val="3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99" w:type="dxa"/>
            <w:noWrap w:val="0"/>
            <w:vAlign w:val="center"/>
          </w:tcPr>
          <w:p>
            <w:pPr>
              <w:jc w:val="center"/>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现职称</w:t>
            </w:r>
          </w:p>
        </w:tc>
        <w:tc>
          <w:tcPr>
            <w:tcW w:w="2424" w:type="dxa"/>
            <w:noWrap w:val="0"/>
            <w:vAlign w:val="center"/>
          </w:tcPr>
          <w:p>
            <w:pPr>
              <w:jc w:val="center"/>
              <w:rPr>
                <w:rFonts w:hint="default" w:ascii="Times New Roman" w:hAnsi="Times New Roman" w:eastAsia="仿宋" w:cs="Times New Roman"/>
                <w:sz w:val="28"/>
                <w:szCs w:val="36"/>
                <w:vertAlign w:val="baseline"/>
              </w:rPr>
            </w:pPr>
          </w:p>
        </w:tc>
        <w:tc>
          <w:tcPr>
            <w:tcW w:w="14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申报评审职称</w:t>
            </w:r>
          </w:p>
        </w:tc>
        <w:tc>
          <w:tcPr>
            <w:tcW w:w="2971" w:type="dxa"/>
            <w:noWrap w:val="0"/>
            <w:vAlign w:val="top"/>
          </w:tcPr>
          <w:p>
            <w:pPr>
              <w:jc w:val="center"/>
              <w:rPr>
                <w:rFonts w:hint="default" w:ascii="Times New Roman" w:hAnsi="Times New Roman" w:eastAsia="仿宋" w:cs="Times New Roman"/>
                <w:sz w:val="28"/>
                <w:szCs w:val="36"/>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3" w:hRule="atLeast"/>
          <w:jc w:val="center"/>
        </w:trPr>
        <w:tc>
          <w:tcPr>
            <w:tcW w:w="8522" w:type="dxa"/>
            <w:gridSpan w:val="4"/>
            <w:noWrap w:val="0"/>
            <w:vAlign w:val="top"/>
          </w:tcPr>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 w:cs="Times New Roman"/>
                <w:sz w:val="28"/>
                <w:szCs w:val="36"/>
                <w:vertAlign w:val="baseline"/>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本人（身份证号码：XXXXXXXXXXXXXXXX）因故未能按照国家及省有关规定完成___ 年度专业技术人员继续教育学习任务，暂无法提供___年度《广东省专业技术人员继续教育证书》。现郑重承诺：</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按照国家及省有关规定，保证在___年 ___月 ___日前完成___ 年度专业技术人员继续教育学习任务，并提交《广东省专业技术人员继续教育证书》。如未能在此之前完成，愿意承担由此带来的一切后果。</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 w:cs="Times New Roman"/>
                <w:sz w:val="28"/>
                <w:szCs w:val="36"/>
                <w:vertAlign w:val="baseline"/>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 xml:space="preserve">                            承诺人：XX</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 xml:space="preserve">                          XX年XX月XX日</w:t>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default" w:ascii="Times New Roman" w:hAnsi="Times New Roman" w:eastAsia="仿宋" w:cs="Times New Roman"/>
                <w:sz w:val="28"/>
                <w:szCs w:val="36"/>
                <w:vertAlign w:val="baseline"/>
                <w:lang w:val="en-US" w:eastAsia="zh-CN"/>
              </w:rPr>
            </w:pPr>
            <w:r>
              <w:rPr>
                <w:rFonts w:hint="default" w:ascii="Times New Roman" w:hAnsi="Times New Roman" w:eastAsia="仿宋" w:cs="Times New Roman"/>
                <w:sz w:val="28"/>
                <w:szCs w:val="36"/>
                <w:vertAlign w:val="baseline"/>
                <w:lang w:val="en-US" w:eastAsia="zh-CN"/>
              </w:rPr>
              <w:t>（以上内容请手写，并亲笔签名）</w:t>
            </w:r>
          </w:p>
        </w:tc>
      </w:tr>
    </w:tbl>
    <w:p>
      <w:pPr>
        <w:numPr>
          <w:ilvl w:val="0"/>
          <w:numId w:val="0"/>
        </w:numPr>
        <w:spacing w:before="157" w:beforeLines="50"/>
        <w:jc w:val="left"/>
        <w:rPr>
          <w:rFonts w:ascii="Calibri" w:hAnsi="Calibri" w:cs="Times New Roman"/>
          <w:szCs w:val="32"/>
        </w:rPr>
      </w:pPr>
      <w:r>
        <w:rPr>
          <w:rFonts w:hint="default" w:ascii="Times New Roman" w:hAnsi="Times New Roman" w:eastAsia="黑体" w:cs="Times New Roman"/>
          <w:sz w:val="24"/>
          <w:szCs w:val="32"/>
          <w:lang w:val="en-US" w:eastAsia="zh-CN"/>
        </w:rPr>
        <w:t>专业技术人员在申报评审专业职称时，因故无法提交《广东省专业技术人员继续教育证书》，可提供此承诺书作为继续教育有效证明材料</w:t>
      </w:r>
    </w:p>
    <w:p>
      <w:pPr>
        <w:pStyle w:val="2"/>
        <w:ind w:left="0" w:leftChars="0" w:firstLine="0" w:firstLineChars="0"/>
        <w:rPr>
          <w:rFonts w:hint="default"/>
          <w:lang w:val="en-US" w:eastAsia="zh-CN"/>
        </w:rPr>
      </w:pPr>
    </w:p>
    <w:p>
      <w:pPr>
        <w:rPr>
          <w:rFonts w:hint="eastAsia" w:ascii="仿宋_GB2312"/>
          <w:szCs w:val="30"/>
        </w:rPr>
      </w:pPr>
      <w:r>
        <w:rPr>
          <w:rFonts w:hint="eastAsia" w:ascii="仿宋_GB2312"/>
          <w:szCs w:val="30"/>
        </w:rPr>
        <w:t xml:space="preserve">                                    </w:t>
      </w:r>
      <w:bookmarkStart w:id="0" w:name="qfrq"/>
      <w:bookmarkEnd w:id="0"/>
    </w:p>
    <w:p>
      <w:pPr>
        <w:rPr>
          <w:rFonts w:hint="eastAsia" w:ascii="黑体" w:hAnsi="黑体" w:eastAsia="黑体"/>
          <w:szCs w:val="30"/>
          <w:lang w:eastAsia="zh-CN"/>
        </w:rPr>
        <w:sectPr>
          <w:headerReference r:id="rId3" w:type="default"/>
          <w:footerReference r:id="rId5" w:type="default"/>
          <w:headerReference r:id="rId4" w:type="even"/>
          <w:footerReference r:id="rId6" w:type="even"/>
          <w:pgSz w:w="11906" w:h="16838"/>
          <w:pgMar w:top="2098" w:right="1418" w:bottom="1531" w:left="1588" w:header="851" w:footer="1372" w:gutter="0"/>
          <w:cols w:space="720" w:num="1"/>
          <w:docGrid w:type="lines" w:linePitch="435" w:charSpace="0"/>
        </w:sect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szCs w:val="30"/>
          <w:lang w:val="en-US" w:eastAsia="zh-CN"/>
        </w:rPr>
      </w:pPr>
      <w:r>
        <w:rPr>
          <w:rFonts w:hint="eastAsia" w:ascii="黑体" w:hAnsi="黑体" w:eastAsia="黑体"/>
          <w:szCs w:val="30"/>
          <w:lang w:eastAsia="zh-CN"/>
        </w:rPr>
        <w:t>附件</w:t>
      </w:r>
      <w:r>
        <w:rPr>
          <w:rFonts w:hint="eastAsia" w:ascii="黑体" w:hAnsi="黑体" w:eastAsia="黑体"/>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44"/>
          <w:szCs w:val="44"/>
          <w:lang w:val="en-US" w:eastAsia="zh-CN"/>
        </w:rPr>
        <w:t>广东省贵金属首饰与宝玉石检测职业发展贯通实施细则（审定稿）</w:t>
      </w:r>
    </w:p>
    <w:tbl>
      <w:tblPr>
        <w:tblStyle w:val="8"/>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906"/>
        <w:gridCol w:w="1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51" w:type="dxa"/>
            <w:noWrap w:val="0"/>
            <w:vAlign w:val="center"/>
          </w:tcPr>
          <w:p>
            <w:pPr>
              <w:spacing w:line="360" w:lineRule="auto"/>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序号</w:t>
            </w:r>
          </w:p>
        </w:tc>
        <w:tc>
          <w:tcPr>
            <w:tcW w:w="1906" w:type="dxa"/>
            <w:noWrap w:val="0"/>
            <w:vAlign w:val="center"/>
          </w:tcPr>
          <w:p>
            <w:pPr>
              <w:spacing w:line="360" w:lineRule="auto"/>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评审内容</w:t>
            </w:r>
          </w:p>
        </w:tc>
        <w:tc>
          <w:tcPr>
            <w:tcW w:w="11179" w:type="dxa"/>
            <w:noWrap w:val="0"/>
            <w:vAlign w:val="center"/>
          </w:tcPr>
          <w:p>
            <w:pPr>
              <w:spacing w:line="360" w:lineRule="auto"/>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内容明细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5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w:t>
            </w:r>
          </w:p>
        </w:tc>
        <w:tc>
          <w:tcPr>
            <w:tcW w:w="19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适用范围和对象</w:t>
            </w:r>
          </w:p>
        </w:tc>
        <w:tc>
          <w:tcPr>
            <w:tcW w:w="111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本评审条件适用于在广东省珠宝首饰行业企事业单位生产一线岗位，从事珠宝贵金属检测技术技能工作，具有高超技艺和精湛技能，能够进行创造性劳动，并作出贡献的在职在岗高技能人才。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5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w:t>
            </w:r>
          </w:p>
        </w:tc>
        <w:tc>
          <w:tcPr>
            <w:tcW w:w="19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对应技能范围</w:t>
            </w:r>
          </w:p>
        </w:tc>
        <w:tc>
          <w:tcPr>
            <w:tcW w:w="1117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贵金属首饰与宝玉石检测员（对应国家职业分类大典职业编码：4-08-05-03），包括：贵金属首饰检验员、钻石检验员、宝玉石检验员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95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w:t>
            </w:r>
          </w:p>
        </w:tc>
        <w:tc>
          <w:tcPr>
            <w:tcW w:w="19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基本条件</w:t>
            </w:r>
          </w:p>
        </w:tc>
        <w:tc>
          <w:tcPr>
            <w:tcW w:w="11179" w:type="dxa"/>
            <w:noWrap w:val="0"/>
            <w:vAlign w:val="top"/>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 拥护中国共产党的领导，遵守中华人民共和国宪法和法律法规、规章以及在职单位规章制度，积极投身新时代中国特色社会主义现代化强国建设。</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 热爱本职工作，认真履行岗位职责，具有良好的职业道德、爱岗敬业，作风端正。</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 身心健康，具备从事贵金属首饰与宝玉石检测工程技术工作的身体条件。</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 具备相应的职业资格。高技能人才参评工程系列专业技术职称的，应取得职业技能等级证书，申报时需提交证书原件，供职称申报点核实确认。</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 高技能人才申报及评审各层级技术职称，突出高技能人才职业特点，以职业能力和工作业绩评定为重点，</w:t>
            </w:r>
            <w:r>
              <w:rPr>
                <w:rFonts w:hint="default" w:ascii="Times New Roman" w:hAnsi="Times New Roman" w:eastAsia="仿宋_GB2312" w:cs="Times New Roman"/>
                <w:sz w:val="24"/>
                <w:szCs w:val="24"/>
                <w:highlight w:val="none"/>
                <w:lang w:eastAsia="zh-CN"/>
              </w:rPr>
              <w:t>将</w:t>
            </w:r>
            <w:r>
              <w:rPr>
                <w:rFonts w:hint="default" w:ascii="Times New Roman" w:hAnsi="Times New Roman" w:eastAsia="仿宋_GB2312" w:cs="Times New Roman"/>
                <w:sz w:val="24"/>
                <w:szCs w:val="24"/>
                <w:highlight w:val="none"/>
              </w:rPr>
              <w:t>技能技艺、工作实绩、生产效率、产品质量、技术和专利发明、科研成果、技能竞赛成绩</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相关论文</w:t>
            </w:r>
            <w:r>
              <w:rPr>
                <w:rFonts w:hint="default" w:ascii="Times New Roman" w:hAnsi="Times New Roman" w:eastAsia="仿宋_GB2312" w:cs="Times New Roman"/>
                <w:sz w:val="24"/>
                <w:szCs w:val="24"/>
                <w:highlight w:val="none"/>
                <w:lang w:eastAsia="zh-CN"/>
              </w:rPr>
              <w:t>著作</w:t>
            </w:r>
            <w:r>
              <w:rPr>
                <w:rFonts w:hint="default" w:ascii="Times New Roman" w:hAnsi="Times New Roman" w:eastAsia="仿宋_GB2312" w:cs="Times New Roman"/>
                <w:sz w:val="24"/>
                <w:szCs w:val="24"/>
                <w:highlight w:val="none"/>
              </w:rPr>
              <w:t>等作为重要</w:t>
            </w:r>
            <w:r>
              <w:rPr>
                <w:rFonts w:hint="default" w:ascii="Times New Roman" w:hAnsi="Times New Roman" w:eastAsia="仿宋_GB2312" w:cs="Times New Roman"/>
                <w:sz w:val="24"/>
                <w:szCs w:val="24"/>
                <w:highlight w:val="none"/>
                <w:lang w:eastAsia="zh-CN"/>
              </w:rPr>
              <w:t>参考</w:t>
            </w:r>
            <w:r>
              <w:rPr>
                <w:rFonts w:hint="default" w:ascii="Times New Roman" w:hAnsi="Times New Roman" w:eastAsia="仿宋_GB2312" w:cs="Times New Roman"/>
                <w:sz w:val="24"/>
                <w:szCs w:val="24"/>
                <w:highlight w:val="none"/>
              </w:rPr>
              <w:t>依据</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职称外语、计算机应用能力</w:t>
            </w:r>
            <w:r>
              <w:rPr>
                <w:rFonts w:hint="default" w:ascii="Times New Roman" w:hAnsi="Times New Roman" w:eastAsia="仿宋_GB2312" w:cs="Times New Roman"/>
                <w:sz w:val="24"/>
                <w:szCs w:val="24"/>
                <w:highlight w:val="none"/>
                <w:lang w:eastAsia="zh-CN"/>
              </w:rPr>
              <w:t>条件、继续教育条件不作统一要求</w:t>
            </w:r>
            <w:r>
              <w:rPr>
                <w:rFonts w:hint="default" w:ascii="Times New Roman" w:hAnsi="Times New Roman" w:eastAsia="仿宋_GB2312"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2"/>
                <w:sz w:val="24"/>
                <w:szCs w:val="24"/>
                <w:highlight w:val="none"/>
                <w:lang w:val="en-US" w:eastAsia="zh-CN" w:bidi="ar-SA"/>
              </w:rPr>
              <w:t>6. 任现职期间，年度考核或绩效考核为称职（合格）以上等次的年限不少于申报职称等级要求的资历年限。</w:t>
            </w:r>
            <w:r>
              <w:rPr>
                <w:rFonts w:hint="default" w:ascii="Times New Roman" w:hAnsi="Times New Roman" w:eastAsia="仿宋_GB2312" w:cs="Times New Roman"/>
                <w:kern w:val="0"/>
                <w:sz w:val="24"/>
                <w:szCs w:val="24"/>
                <w:highlight w:val="none"/>
                <w:lang w:val="en-US" w:eastAsia="zh-CN" w:bidi="ar-SA"/>
              </w:rPr>
              <w:t>出现以下情况之一，按下列规定执行：</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（1）年度考核或绩效考核不称职（不合格），或受单位书面通报批评者，该考核年度不计算资历。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（2）已定性为技术责任事故的直接责任人，该年度不计算资历且取消当年申报资格。</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发现并查证属实，有伪造身份、学历、职业资格、资历、业绩，剽窃他人成果等弄虚作假或违反政策规定者，取消当年申报资格，记入诚信档案，3年内不得再次申报职称评审；如已评审通过的，由人力资源社会保障部门或职称评审委员会组建单位撤销其职称。</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outlineLvl w:val="9"/>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（4）因违法受刑事处罚的，在执行期间不计算资历且取消申报资格，处罚处分期满后，2年内取消申报资格。</w:t>
            </w:r>
          </w:p>
        </w:tc>
      </w:tr>
    </w:tbl>
    <w:p>
      <w:pPr>
        <w:spacing w:line="240" w:lineRule="auto"/>
        <w:jc w:val="both"/>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br w:type="page"/>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487"/>
        <w:gridCol w:w="2283"/>
        <w:gridCol w:w="9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76" w:type="dxa"/>
            <w:vMerge w:val="restart"/>
            <w:noWrap w:val="0"/>
            <w:vAlign w:val="center"/>
          </w:tcPr>
          <w:p>
            <w:pPr>
              <w:spacing w:line="36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w:t>
            </w:r>
          </w:p>
        </w:tc>
        <w:tc>
          <w:tcPr>
            <w:tcW w:w="1487" w:type="dxa"/>
            <w:vMerge w:val="restart"/>
            <w:noWrap w:val="0"/>
            <w:vAlign w:val="center"/>
          </w:tcPr>
          <w:p>
            <w:pPr>
              <w:spacing w:line="36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工程师</w:t>
            </w:r>
          </w:p>
        </w:tc>
        <w:tc>
          <w:tcPr>
            <w:tcW w:w="228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资历条件</w:t>
            </w:r>
          </w:p>
        </w:tc>
        <w:tc>
          <w:tcPr>
            <w:tcW w:w="949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取得贵金属首饰宝玉石检验技师职业资格后，从事对应专业技术技能工作3年以上。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76" w:type="dxa"/>
            <w:vMerge w:val="continue"/>
            <w:noWrap w:val="0"/>
            <w:vAlign w:val="center"/>
          </w:tcPr>
          <w:p>
            <w:pPr>
              <w:spacing w:line="360" w:lineRule="auto"/>
              <w:jc w:val="center"/>
              <w:rPr>
                <w:rFonts w:hint="default" w:ascii="Times New Roman" w:hAnsi="Times New Roman" w:eastAsia="仿宋_GB2312" w:cs="Times New Roman"/>
                <w:sz w:val="24"/>
                <w:szCs w:val="24"/>
                <w:highlight w:val="none"/>
              </w:rPr>
            </w:pPr>
          </w:p>
        </w:tc>
        <w:tc>
          <w:tcPr>
            <w:tcW w:w="1487" w:type="dxa"/>
            <w:vMerge w:val="continue"/>
            <w:noWrap w:val="0"/>
            <w:vAlign w:val="center"/>
          </w:tcPr>
          <w:p>
            <w:pPr>
              <w:spacing w:line="360" w:lineRule="auto"/>
              <w:jc w:val="center"/>
              <w:rPr>
                <w:rFonts w:hint="default" w:ascii="Times New Roman" w:hAnsi="Times New Roman" w:eastAsia="仿宋_GB2312" w:cs="Times New Roman"/>
                <w:sz w:val="24"/>
                <w:szCs w:val="24"/>
                <w:highlight w:val="none"/>
              </w:rPr>
            </w:pPr>
          </w:p>
        </w:tc>
        <w:tc>
          <w:tcPr>
            <w:tcW w:w="228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工作能力</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（经历）条件</w:t>
            </w:r>
          </w:p>
        </w:tc>
        <w:tc>
          <w:tcPr>
            <w:tcW w:w="9497"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符合上述条件的申报人，每年必须完成本岗位所规定的专业技术技能工作任务，还须具备以下条件之一：</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 参加省级或以上技能比赛</w:t>
            </w:r>
            <w:r>
              <w:rPr>
                <w:rFonts w:hint="default" w:ascii="Times New Roman" w:hAnsi="Times New Roman" w:eastAsia="仿宋_GB2312" w:cs="Times New Roman"/>
                <w:w w:val="85"/>
                <w:sz w:val="24"/>
                <w:szCs w:val="24"/>
                <w:highlight w:val="none"/>
              </w:rPr>
              <w:t>1</w:t>
            </w:r>
            <w:r>
              <w:rPr>
                <w:rFonts w:hint="default" w:ascii="Times New Roman" w:hAnsi="Times New Roman" w:eastAsia="仿宋_GB2312" w:cs="Times New Roman"/>
                <w:sz w:val="24"/>
                <w:szCs w:val="24"/>
                <w:highlight w:val="none"/>
              </w:rPr>
              <w:t>项以上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 掌握本技能领域检测技术或检测部门/实验室管理方法，处理过2项以上检测技术或管理中出现的较复杂的问题，或参加过2项以上检测技术改进工作、新技术的开发和推广应用工作，或向2人以上传授本技术领域的技能。</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 掌握先进的技术技能水平，形成先进的技术操作方法。</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 在降低原材料和能源消耗、提高质量、加强设备管理和维修、促进生产等工作中取得显著成绩。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876" w:type="dxa"/>
            <w:vMerge w:val="continue"/>
            <w:noWrap w:val="0"/>
            <w:vAlign w:val="center"/>
          </w:tcPr>
          <w:p>
            <w:pPr>
              <w:spacing w:line="360" w:lineRule="auto"/>
              <w:jc w:val="center"/>
              <w:rPr>
                <w:rFonts w:hint="default" w:ascii="Times New Roman" w:hAnsi="Times New Roman" w:eastAsia="仿宋_GB2312" w:cs="Times New Roman"/>
                <w:sz w:val="24"/>
                <w:szCs w:val="24"/>
                <w:highlight w:val="none"/>
              </w:rPr>
            </w:pPr>
          </w:p>
        </w:tc>
        <w:tc>
          <w:tcPr>
            <w:tcW w:w="1487" w:type="dxa"/>
            <w:vMerge w:val="continue"/>
            <w:noWrap w:val="0"/>
            <w:vAlign w:val="center"/>
          </w:tcPr>
          <w:p>
            <w:pPr>
              <w:spacing w:line="360" w:lineRule="auto"/>
              <w:jc w:val="center"/>
              <w:rPr>
                <w:rFonts w:hint="default" w:ascii="Times New Roman" w:hAnsi="Times New Roman" w:eastAsia="仿宋_GB2312" w:cs="Times New Roman"/>
                <w:sz w:val="24"/>
                <w:szCs w:val="24"/>
                <w:highlight w:val="none"/>
              </w:rPr>
            </w:pPr>
          </w:p>
        </w:tc>
        <w:tc>
          <w:tcPr>
            <w:tcW w:w="228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工作业绩条件</w:t>
            </w:r>
          </w:p>
        </w:tc>
        <w:tc>
          <w:tcPr>
            <w:tcW w:w="9497"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申报人须掌握本专业的基础理论知识和专业技术知识，具有独立完成一般性技术工作的实际能力，</w:t>
            </w:r>
            <w:r>
              <w:rPr>
                <w:rFonts w:hint="default" w:ascii="Times New Roman" w:hAnsi="Times New Roman" w:eastAsia="仿宋_GB2312" w:cs="Times New Roman"/>
                <w:sz w:val="24"/>
                <w:szCs w:val="24"/>
                <w:highlight w:val="none"/>
                <w:lang w:eastAsia="zh-CN"/>
              </w:rPr>
              <w:t>能处理本专业范围内一般性技术难题，应</w:t>
            </w:r>
            <w:r>
              <w:rPr>
                <w:rFonts w:hint="default" w:ascii="Times New Roman" w:hAnsi="Times New Roman" w:eastAsia="仿宋_GB2312" w:cs="Times New Roman"/>
                <w:sz w:val="24"/>
                <w:szCs w:val="24"/>
                <w:highlight w:val="none"/>
              </w:rPr>
              <w:t>提交2</w:t>
            </w:r>
            <w:r>
              <w:rPr>
                <w:rFonts w:hint="default" w:ascii="Times New Roman" w:hAnsi="Times New Roman" w:eastAsia="仿宋_GB2312" w:cs="Times New Roman"/>
                <w:sz w:val="24"/>
                <w:szCs w:val="24"/>
                <w:highlight w:val="none"/>
                <w:lang w:eastAsia="zh-CN"/>
              </w:rPr>
              <w:t>篇</w:t>
            </w:r>
            <w:r>
              <w:rPr>
                <w:rFonts w:hint="default" w:ascii="Times New Roman" w:hAnsi="Times New Roman" w:eastAsia="仿宋_GB2312" w:cs="Times New Roman"/>
                <w:sz w:val="24"/>
                <w:szCs w:val="24"/>
                <w:highlight w:val="none"/>
              </w:rPr>
              <w:t>体现其技术能力的工作报告、或技术工艺改进方案、或技术技能操作手册、或解决工作难题的案例报告，也可以提交相关专利、论文作为证明材料。申报人取得现职业资格后，还须具备下列条件之一：</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 xml:space="preserve">1. 获得省级及以上竞赛金、银 、铜牌或一等 </w:t>
            </w:r>
            <w:r>
              <w:rPr>
                <w:rFonts w:hint="default" w:ascii="Times New Roman" w:hAnsi="Times New Roman" w:eastAsia="仿宋_GB2312" w:cs="Times New Roman"/>
                <w:sz w:val="24"/>
                <w:szCs w:val="24"/>
                <w:highlight w:val="none"/>
                <w:lang w:eastAsia="zh-CN"/>
              </w:rPr>
              <w:t>、</w:t>
            </w:r>
            <w:r>
              <w:rPr>
                <w:rFonts w:hint="default" w:ascii="Times New Roman" w:hAnsi="Times New Roman" w:eastAsia="仿宋_GB2312" w:cs="Times New Roman"/>
                <w:sz w:val="24"/>
                <w:szCs w:val="24"/>
                <w:highlight w:val="none"/>
              </w:rPr>
              <w:t>二 等 、三等奖的选手或教练</w:t>
            </w:r>
            <w:r>
              <w:rPr>
                <w:rFonts w:hint="default" w:ascii="Times New Roman" w:hAnsi="Times New Roman" w:eastAsia="仿宋_GB2312" w:cs="Times New Roman"/>
                <w:w w:val="80"/>
                <w:sz w:val="24"/>
                <w:szCs w:val="24"/>
                <w:highlight w:val="none"/>
              </w:rPr>
              <w:t xml:space="preserve">（ </w:t>
            </w:r>
            <w:r>
              <w:rPr>
                <w:rFonts w:hint="default" w:ascii="Times New Roman" w:hAnsi="Times New Roman" w:eastAsia="仿宋_GB2312" w:cs="Times New Roman"/>
                <w:sz w:val="24"/>
                <w:szCs w:val="24"/>
                <w:highlight w:val="none"/>
              </w:rPr>
              <w:t>以公布文件为准）。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 获得省级及以上珠宝贵金属技能优秀人才奖、行业岗位技术能手标兵等荣誉者。</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 参加新技术开发和推广应用</w:t>
            </w:r>
            <w:r>
              <w:rPr>
                <w:rFonts w:hint="default" w:ascii="Times New Roman" w:hAnsi="Times New Roman" w:eastAsia="仿宋_GB2312" w:cs="Times New Roman"/>
                <w:sz w:val="24"/>
                <w:szCs w:val="24"/>
                <w:highlight w:val="none"/>
                <w:lang w:eastAsia="zh-CN"/>
              </w:rPr>
              <w:t>工作</w:t>
            </w:r>
            <w:r>
              <w:rPr>
                <w:rFonts w:hint="default" w:ascii="Times New Roman" w:hAnsi="Times New Roman" w:eastAsia="仿宋_GB2312" w:cs="Times New Roman"/>
                <w:sz w:val="24"/>
                <w:szCs w:val="24"/>
                <w:highlight w:val="none"/>
                <w:lang w:val="en-US" w:eastAsia="zh-CN"/>
              </w:rPr>
              <w:t>2项以上，</w:t>
            </w:r>
            <w:r>
              <w:rPr>
                <w:rFonts w:hint="default" w:ascii="Times New Roman" w:hAnsi="Times New Roman" w:eastAsia="仿宋_GB2312" w:cs="Times New Roman"/>
                <w:sz w:val="24"/>
                <w:szCs w:val="24"/>
                <w:highlight w:val="none"/>
                <w:lang w:eastAsia="zh-CN"/>
              </w:rPr>
              <w:t>并取得较显著成绩</w:t>
            </w:r>
            <w:r>
              <w:rPr>
                <w:rFonts w:hint="default" w:ascii="Times New Roman" w:hAnsi="Times New Roman" w:eastAsia="仿宋_GB2312" w:cs="Times New Roman"/>
                <w:sz w:val="24"/>
                <w:szCs w:val="24"/>
                <w:highlight w:val="none"/>
              </w:rPr>
              <w:t>，经工作单位或珠宝贵金属相关行业协会评价优秀。</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4</w:t>
            </w:r>
            <w:r>
              <w:rPr>
                <w:rFonts w:hint="default" w:ascii="Times New Roman" w:hAnsi="Times New Roman" w:eastAsia="仿宋_GB2312" w:cs="Times New Roman"/>
                <w:sz w:val="24"/>
                <w:szCs w:val="24"/>
                <w:highlight w:val="none"/>
              </w:rPr>
              <w:t>. 掌握先进的技术技能水平，形成先进的技术操作方法，被单位采纳，并编写操作手册、规程推广使用。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lang w:val="en-US" w:eastAsia="zh-CN"/>
              </w:rPr>
              <w:t>5</w:t>
            </w:r>
            <w:r>
              <w:rPr>
                <w:rFonts w:hint="default" w:ascii="Times New Roman" w:hAnsi="Times New Roman" w:eastAsia="仿宋_GB2312" w:cs="Times New Roman"/>
                <w:sz w:val="24"/>
                <w:szCs w:val="24"/>
                <w:highlight w:val="none"/>
              </w:rPr>
              <w:t>. 在降低原材料和能源消耗、提高质量、加强设备管理和维修、促进生产等工作中取得显著成绩，被单位认可</w:t>
            </w:r>
            <w:r>
              <w:rPr>
                <w:rFonts w:hint="default" w:ascii="Times New Roman" w:hAnsi="Times New Roman" w:eastAsia="仿宋_GB2312" w:cs="Times New Roman"/>
                <w:sz w:val="24"/>
                <w:szCs w:val="24"/>
                <w:highlight w:val="none"/>
                <w:lang w:eastAsia="zh-CN"/>
              </w:rPr>
              <w:t>并</w:t>
            </w:r>
            <w:r>
              <w:rPr>
                <w:rFonts w:hint="default" w:ascii="Times New Roman" w:hAnsi="Times New Roman" w:eastAsia="仿宋_GB2312" w:cs="Times New Roman"/>
                <w:sz w:val="24"/>
                <w:szCs w:val="24"/>
                <w:highlight w:val="none"/>
              </w:rPr>
              <w:t>受到</w:t>
            </w:r>
            <w:r>
              <w:rPr>
                <w:rFonts w:hint="default" w:ascii="Times New Roman" w:hAnsi="Times New Roman" w:eastAsia="仿宋_GB2312" w:cs="Times New Roman"/>
                <w:sz w:val="24"/>
                <w:szCs w:val="24"/>
                <w:highlight w:val="none"/>
                <w:lang w:eastAsia="zh-CN"/>
              </w:rPr>
              <w:t>行业主管部门</w:t>
            </w:r>
            <w:r>
              <w:rPr>
                <w:rFonts w:hint="default" w:ascii="Times New Roman" w:hAnsi="Times New Roman" w:eastAsia="仿宋_GB2312" w:cs="Times New Roman"/>
                <w:sz w:val="24"/>
                <w:szCs w:val="24"/>
                <w:highlight w:val="none"/>
              </w:rPr>
              <w:t>表彰。</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7. 获得珠宝贵金属专业发明专利、或实用新型专利、或外观设计专利l项（前5名专利权人），专利成果应用或转化，取得显著的经济效益。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76" w:type="dxa"/>
            <w:vMerge w:val="restart"/>
            <w:noWrap w:val="0"/>
            <w:vAlign w:val="center"/>
          </w:tcPr>
          <w:p>
            <w:pPr>
              <w:spacing w:line="360"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w:t>
            </w:r>
          </w:p>
        </w:tc>
        <w:tc>
          <w:tcPr>
            <w:tcW w:w="14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高级工程师</w:t>
            </w:r>
          </w:p>
        </w:tc>
        <w:tc>
          <w:tcPr>
            <w:tcW w:w="22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资历条件</w:t>
            </w:r>
          </w:p>
        </w:tc>
        <w:tc>
          <w:tcPr>
            <w:tcW w:w="949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取</w:t>
            </w:r>
            <w:r>
              <w:rPr>
                <w:rFonts w:hint="default" w:ascii="Times New Roman" w:hAnsi="Times New Roman" w:eastAsia="仿宋_GB2312" w:cs="Times New Roman"/>
                <w:spacing w:val="-6"/>
                <w:sz w:val="24"/>
                <w:szCs w:val="24"/>
                <w:highlight w:val="none"/>
              </w:rPr>
              <w:t>得贵金属首饰宝玉石检验高级技师职业技能等级后，从事对应专业技术技能工作4年以上。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Merge w:val="continue"/>
            <w:noWrap w:val="0"/>
            <w:vAlign w:val="center"/>
          </w:tcPr>
          <w:p>
            <w:pPr>
              <w:spacing w:line="360" w:lineRule="auto"/>
              <w:jc w:val="center"/>
              <w:rPr>
                <w:rFonts w:hint="default" w:ascii="Times New Roman" w:hAnsi="Times New Roman" w:eastAsia="仿宋_GB2312" w:cs="Times New Roman"/>
                <w:sz w:val="24"/>
                <w:szCs w:val="24"/>
                <w:highlight w:val="none"/>
              </w:rPr>
            </w:pPr>
          </w:p>
        </w:tc>
        <w:tc>
          <w:tcPr>
            <w:tcW w:w="14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p>
        </w:tc>
        <w:tc>
          <w:tcPr>
            <w:tcW w:w="22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工作能力</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（经历）条件</w:t>
            </w:r>
          </w:p>
        </w:tc>
        <w:tc>
          <w:tcPr>
            <w:tcW w:w="949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符合上述条件的申报人，每年必须完成本岗位所规定的专业技术技能工作任务，还须具备以下条件之一：</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1. 参加国家级技能比赛</w:t>
            </w:r>
            <w:r>
              <w:rPr>
                <w:rFonts w:hint="default" w:ascii="Times New Roman" w:hAnsi="Times New Roman" w:eastAsia="仿宋_GB2312" w:cs="Times New Roman"/>
                <w:w w:val="85"/>
                <w:sz w:val="24"/>
                <w:szCs w:val="24"/>
                <w:highlight w:val="none"/>
              </w:rPr>
              <w:t>1</w:t>
            </w:r>
            <w:r>
              <w:rPr>
                <w:rFonts w:hint="default" w:ascii="Times New Roman" w:hAnsi="Times New Roman" w:eastAsia="仿宋_GB2312" w:cs="Times New Roman"/>
                <w:sz w:val="24"/>
                <w:szCs w:val="24"/>
                <w:highlight w:val="none"/>
              </w:rPr>
              <w:t>项以上。</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2. 具备技能绝招绝技，并在发掘整理和传授技术技能方面作出突出贡献。</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3. 参加本行业较高难度、较复杂的新工艺、新技术、新产品的研究开发2项以上，并得到推广应用和取得较好的效益。</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4. 主持或作为技术骨干参与过2项以上：大型检测项目，或解决疑难技术问题，或重大技术革新，实施效果良好。</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5. 掌握领先的技术技能水平，形成领先的技术操作方法。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Merge w:val="continue"/>
            <w:noWrap w:val="0"/>
            <w:vAlign w:val="center"/>
          </w:tcPr>
          <w:p>
            <w:pPr>
              <w:spacing w:line="360" w:lineRule="auto"/>
              <w:jc w:val="center"/>
              <w:rPr>
                <w:rFonts w:hint="default" w:ascii="Times New Roman" w:hAnsi="Times New Roman" w:eastAsia="仿宋_GB2312" w:cs="Times New Roman"/>
                <w:sz w:val="24"/>
                <w:szCs w:val="24"/>
                <w:highlight w:val="none"/>
              </w:rPr>
            </w:pPr>
          </w:p>
        </w:tc>
        <w:tc>
          <w:tcPr>
            <w:tcW w:w="14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24"/>
                <w:szCs w:val="24"/>
                <w:highlight w:val="none"/>
              </w:rPr>
            </w:pPr>
          </w:p>
        </w:tc>
        <w:tc>
          <w:tcPr>
            <w:tcW w:w="228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z w:val="24"/>
                <w:szCs w:val="24"/>
                <w:highlight w:val="none"/>
              </w:rPr>
              <w:t>工作业绩条件</w:t>
            </w:r>
          </w:p>
        </w:tc>
        <w:tc>
          <w:tcPr>
            <w:tcW w:w="9497"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申报人须全面掌握本专业的基础理论知识和专业技术知识，具有独立完成技术工作的实际能力，能处理本专业范围内技术难题，应提交2篇体现其技术技能的工作报告、工艺改进方案或解决工作难题的案例，也可以提交相关专利、论文作为证明材料。申报人取得现职业资格后，符合下列条件之一：</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 获得国家级技能竞赛金、银、铜牌或一、二、三等奖的选手或教练（以公布文件为准）。</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 获得中华技能大奖、全国技术能手或南粤技术能手等荣誉称号。</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3. 担任国家级技能大师工作室负责人。</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4. 享受省级以上政府特殊津贴的高技能人才。</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5. 作为技术骨干参与开发新工艺、新产品，或推广应用国内外本专业新理论、新方法、新技术等2项以上，解决了本专业复杂技术问题，成果转化取得了明显社会经济效益，其技术成果经省级行业协会组织专家鉴定确认，或经立项部门鉴定验收。</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6. 从事技术管理工作，主持大型检测项目并编制检测报告2项以上，经委托方认可。</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7. 本专业领域科技项目，获得国家或省（部）级科学技术奖的完成人。</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8. 市（厅）级科学技术奖一、二等奖1项或三等奖2项以上获奖项目的主要完成人（以个人奖励证书为准）。</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9. 获得有较大价值的本专业发明专利1项（发明人），或获得有显著经济效益的本专业实用新型专利2项以上（专利权人）。</w:t>
            </w:r>
          </w:p>
          <w:p>
            <w:pPr>
              <w:keepNext w:val="0"/>
              <w:keepLines w:val="0"/>
              <w:pageBreakBefore w:val="0"/>
              <w:widowControl w:val="0"/>
              <w:kinsoku/>
              <w:wordWrap/>
              <w:overflowPunct/>
              <w:topLinePunct w:val="0"/>
              <w:autoSpaceDE/>
              <w:autoSpaceDN/>
              <w:bidi w:val="0"/>
              <w:adjustRightInd/>
              <w:snapToGrid/>
              <w:spacing w:line="300" w:lineRule="exact"/>
              <w:ind w:left="0" w:right="183"/>
              <w:jc w:val="both"/>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10. 作为主要参编者，参加了本技术领域的地方、行业、国家标准的编制1项。</w:t>
            </w:r>
          </w:p>
        </w:tc>
      </w:tr>
    </w:tbl>
    <w:p>
      <w:pPr>
        <w:rPr>
          <w:rFonts w:ascii="Calibri" w:hAnsi="Calibri" w:eastAsia="宋体" w:cs="Times New Roman"/>
          <w:sz w:val="21"/>
          <w:szCs w:val="22"/>
          <w:highlight w:val="none"/>
        </w:rPr>
        <w:sectPr>
          <w:pgSz w:w="16838" w:h="11906" w:orient="landscape"/>
          <w:pgMar w:top="1587" w:right="2098" w:bottom="1417" w:left="1531" w:header="851" w:footer="1372" w:gutter="0"/>
          <w:cols w:space="720" w:num="1"/>
          <w:docGrid w:type="lines" w:linePitch="445" w:charSpace="0"/>
        </w:sectPr>
      </w:pPr>
    </w:p>
    <w:p>
      <w:pPr>
        <w:pStyle w:val="2"/>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5</w:t>
      </w:r>
    </w:p>
    <w:p>
      <w:pPr>
        <w:pStyle w:val="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540" w:lineRule="exact"/>
        <w:jc w:val="center"/>
        <w:textAlignment w:val="auto"/>
        <w:rPr>
          <w:rFonts w:hint="eastAsia" w:ascii="方正小标宋简体" w:hAnsi="方正小标宋简体" w:eastAsia="方正小标宋简体" w:cs="方正小标宋简体"/>
          <w:sz w:val="40"/>
          <w:szCs w:val="40"/>
          <w:u w:val="none"/>
          <w:shd w:val="clear" w:color="auto" w:fill="FFFFFF"/>
          <w:lang w:bidi="ar-SA"/>
        </w:rPr>
      </w:pPr>
      <w:r>
        <w:rPr>
          <w:rFonts w:hint="eastAsia" w:ascii="方正小标宋简体" w:hAnsi="方正小标宋简体" w:eastAsia="方正小标宋简体" w:cs="方正小标宋简体"/>
          <w:sz w:val="36"/>
          <w:szCs w:val="36"/>
          <w:u w:val="none"/>
          <w:shd w:val="clear" w:color="auto" w:fill="FFFFFF"/>
          <w:lang w:eastAsia="zh-CN" w:bidi="ar-SA"/>
        </w:rPr>
        <w:t>广东省</w:t>
      </w:r>
      <w:r>
        <w:rPr>
          <w:rFonts w:hint="eastAsia" w:ascii="方正小标宋简体" w:hAnsi="方正小标宋简体" w:eastAsia="方正小标宋简体" w:cs="方正小标宋简体"/>
          <w:sz w:val="36"/>
          <w:szCs w:val="36"/>
          <w:u w:val="none"/>
          <w:shd w:val="clear" w:color="auto" w:fill="FFFFFF"/>
          <w:lang w:bidi="ar-SA"/>
        </w:rPr>
        <w:t>跨区域</w:t>
      </w:r>
      <w:r>
        <w:rPr>
          <w:rFonts w:hint="eastAsia" w:ascii="方正小标宋简体" w:hAnsi="方正小标宋简体" w:eastAsia="方正小标宋简体" w:cs="方正小标宋简体"/>
          <w:sz w:val="36"/>
          <w:szCs w:val="36"/>
          <w:u w:val="none"/>
          <w:shd w:val="clear" w:color="auto" w:fill="FFFFFF"/>
          <w:lang w:eastAsia="zh-CN" w:bidi="ar-SA"/>
        </w:rPr>
        <w:t>、</w:t>
      </w:r>
      <w:r>
        <w:rPr>
          <w:rFonts w:hint="eastAsia" w:ascii="方正小标宋简体" w:hAnsi="方正小标宋简体" w:eastAsia="方正小标宋简体" w:cs="方正小标宋简体"/>
          <w:sz w:val="36"/>
          <w:szCs w:val="36"/>
          <w:u w:val="none"/>
          <w:shd w:val="clear" w:color="auto" w:fill="FFFFFF"/>
          <w:lang w:bidi="ar-SA"/>
        </w:rPr>
        <w:t>跨单位流动专业技术人才</w:t>
      </w:r>
      <w:r>
        <w:rPr>
          <w:rFonts w:hint="eastAsia" w:ascii="方正小标宋简体" w:hAnsi="方正小标宋简体" w:eastAsia="方正小标宋简体" w:cs="方正小标宋简体"/>
          <w:sz w:val="36"/>
          <w:szCs w:val="36"/>
          <w:u w:val="none"/>
          <w:shd w:val="clear" w:color="auto" w:fill="FFFFFF"/>
          <w:lang w:eastAsia="zh-CN" w:bidi="ar-SA"/>
        </w:rPr>
        <w:t>职称</w:t>
      </w:r>
      <w:r>
        <w:rPr>
          <w:rFonts w:hint="eastAsia" w:ascii="方正小标宋简体" w:hAnsi="方正小标宋简体" w:eastAsia="方正小标宋简体" w:cs="方正小标宋简体"/>
          <w:sz w:val="36"/>
          <w:szCs w:val="36"/>
          <w:u w:val="none"/>
          <w:shd w:val="clear" w:color="auto" w:fill="FFFFFF"/>
          <w:lang w:bidi="ar-SA"/>
        </w:rPr>
        <w:t>确认表</w:t>
      </w:r>
    </w:p>
    <w:tbl>
      <w:tblPr>
        <w:tblStyle w:val="7"/>
        <w:tblW w:w="0" w:type="auto"/>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564"/>
        <w:gridCol w:w="1078"/>
        <w:gridCol w:w="1266"/>
        <w:gridCol w:w="1571"/>
        <w:gridCol w:w="1694"/>
        <w:gridCol w:w="1031"/>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1" w:hRule="atLeast"/>
        </w:trPr>
        <w:tc>
          <w:tcPr>
            <w:tcW w:w="13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姓名</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2"/>
              </w:rPr>
            </w:pPr>
          </w:p>
        </w:tc>
        <w:tc>
          <w:tcPr>
            <w:tcW w:w="126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身份证号码</w:t>
            </w:r>
          </w:p>
        </w:tc>
        <w:tc>
          <w:tcPr>
            <w:tcW w:w="157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c>
          <w:tcPr>
            <w:tcW w:w="16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lang w:eastAsia="zh-CN"/>
              </w:rPr>
            </w:pPr>
            <w:r>
              <w:rPr>
                <w:rFonts w:hint="eastAsia" w:ascii="Times New Roman" w:hAnsi="Times New Roman" w:eastAsia="宋体" w:cs="Times New Roman"/>
                <w:sz w:val="21"/>
                <w:szCs w:val="20"/>
              </w:rPr>
              <w:t>参加工作时间</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p>
        </w:tc>
        <w:tc>
          <w:tcPr>
            <w:tcW w:w="14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贴照片处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2" w:hRule="atLeast"/>
        </w:trPr>
        <w:tc>
          <w:tcPr>
            <w:tcW w:w="13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lang w:eastAsia="zh-CN"/>
              </w:rPr>
            </w:pPr>
            <w:r>
              <w:rPr>
                <w:rFonts w:hint="eastAsia" w:ascii="Times New Roman" w:hAnsi="Times New Roman" w:eastAsia="宋体" w:cs="Times New Roman"/>
                <w:sz w:val="21"/>
                <w:szCs w:val="20"/>
                <w:lang w:eastAsia="zh-CN"/>
              </w:rPr>
              <w:t>毕业院校</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c>
          <w:tcPr>
            <w:tcW w:w="126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r>
              <w:rPr>
                <w:rFonts w:hint="eastAsia" w:ascii="Times New Roman" w:hAnsi="Times New Roman" w:eastAsia="宋体" w:cs="Times New Roman"/>
                <w:sz w:val="21"/>
                <w:szCs w:val="20"/>
                <w:lang w:eastAsia="zh-CN"/>
              </w:rPr>
              <w:t>所学专业</w:t>
            </w:r>
          </w:p>
        </w:tc>
        <w:tc>
          <w:tcPr>
            <w:tcW w:w="157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c>
          <w:tcPr>
            <w:tcW w:w="169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eastAsia="zh-CN"/>
              </w:rPr>
              <w:t>来粤时工作单位</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Times New Roman" w:hAnsi="Times New Roman" w:eastAsia="宋体" w:cs="Times New Roman"/>
                <w:color w:val="4472C4"/>
                <w:sz w:val="21"/>
                <w:szCs w:val="20"/>
              </w:rPr>
            </w:pPr>
          </w:p>
        </w:tc>
        <w:tc>
          <w:tcPr>
            <w:tcW w:w="14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3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FF0000"/>
                <w:sz w:val="21"/>
                <w:szCs w:val="20"/>
              </w:rPr>
            </w:pPr>
            <w:r>
              <w:rPr>
                <w:rFonts w:hint="eastAsia" w:ascii="Times New Roman" w:hAnsi="Times New Roman" w:eastAsia="宋体" w:cs="Times New Roman"/>
                <w:sz w:val="21"/>
                <w:szCs w:val="20"/>
              </w:rPr>
              <w:t>省外</w:t>
            </w:r>
            <w:r>
              <w:rPr>
                <w:rFonts w:hint="eastAsia" w:ascii="Times New Roman" w:hAnsi="Times New Roman" w:eastAsia="宋体" w:cs="Times New Roman"/>
                <w:sz w:val="21"/>
                <w:szCs w:val="20"/>
                <w:lang w:eastAsia="zh-CN"/>
              </w:rPr>
              <w:t>参评时原</w:t>
            </w:r>
            <w:r>
              <w:rPr>
                <w:rFonts w:hint="eastAsia" w:ascii="Times New Roman" w:hAnsi="Times New Roman" w:eastAsia="宋体" w:cs="Times New Roman"/>
                <w:sz w:val="21"/>
                <w:szCs w:val="20"/>
              </w:rPr>
              <w:t>工作单位</w:t>
            </w:r>
          </w:p>
        </w:tc>
        <w:tc>
          <w:tcPr>
            <w:tcW w:w="23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c>
          <w:tcPr>
            <w:tcW w:w="157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lang w:eastAsia="zh-CN"/>
              </w:rPr>
            </w:pPr>
            <w:bookmarkStart w:id="1" w:name="OLE_LINK6"/>
            <w:r>
              <w:rPr>
                <w:rFonts w:hint="eastAsia" w:ascii="Times New Roman" w:hAnsi="Times New Roman" w:eastAsia="宋体" w:cs="Times New Roman"/>
                <w:sz w:val="21"/>
                <w:szCs w:val="20"/>
              </w:rPr>
              <w:t>取得</w:t>
            </w:r>
            <w:r>
              <w:rPr>
                <w:rFonts w:hint="eastAsia" w:ascii="Times New Roman" w:hAnsi="Times New Roman" w:eastAsia="宋体" w:cs="Times New Roman"/>
                <w:sz w:val="21"/>
                <w:szCs w:val="20"/>
                <w:lang w:eastAsia="zh-CN"/>
              </w:rPr>
              <w:t>的原</w:t>
            </w:r>
            <w:r>
              <w:rPr>
                <w:rFonts w:hint="eastAsia" w:ascii="Times New Roman" w:hAnsi="Times New Roman" w:eastAsia="宋体" w:cs="Times New Roman"/>
                <w:sz w:val="21"/>
                <w:szCs w:val="20"/>
              </w:rPr>
              <w:t>省外</w:t>
            </w:r>
            <w:r>
              <w:rPr>
                <w:rFonts w:hint="eastAsia" w:ascii="Times New Roman" w:hAnsi="Times New Roman" w:eastAsia="宋体" w:cs="Times New Roman"/>
                <w:sz w:val="21"/>
                <w:szCs w:val="20"/>
                <w:lang w:eastAsia="zh-CN"/>
              </w:rPr>
              <w:t>职称</w:t>
            </w:r>
            <w:bookmarkEnd w:id="1"/>
          </w:p>
        </w:tc>
        <w:tc>
          <w:tcPr>
            <w:tcW w:w="4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宋体" w:cs="Times New Roman"/>
                <w:sz w:val="21"/>
                <w:szCs w:val="20"/>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3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lang w:eastAsia="zh-CN"/>
              </w:rPr>
            </w:pPr>
            <w:r>
              <w:rPr>
                <w:rFonts w:hint="eastAsia" w:ascii="Times New Roman" w:hAnsi="Times New Roman" w:eastAsia="宋体" w:cs="Times New Roman"/>
                <w:sz w:val="21"/>
                <w:szCs w:val="20"/>
                <w:lang w:eastAsia="zh-CN"/>
              </w:rPr>
              <w:t>原省外职称</w:t>
            </w:r>
            <w:r>
              <w:rPr>
                <w:rFonts w:hint="eastAsia" w:ascii="Times New Roman" w:hAnsi="Times New Roman" w:eastAsia="宋体" w:cs="Times New Roman"/>
                <w:sz w:val="21"/>
                <w:szCs w:val="20"/>
              </w:rPr>
              <w:t>取得方式</w:t>
            </w:r>
          </w:p>
        </w:tc>
        <w:tc>
          <w:tcPr>
            <w:tcW w:w="23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c>
          <w:tcPr>
            <w:tcW w:w="157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lang w:eastAsia="zh-CN"/>
              </w:rPr>
            </w:pPr>
            <w:r>
              <w:rPr>
                <w:rFonts w:hint="eastAsia" w:ascii="Times New Roman" w:hAnsi="Times New Roman" w:eastAsia="宋体" w:cs="Times New Roman"/>
                <w:sz w:val="21"/>
                <w:szCs w:val="20"/>
                <w:lang w:eastAsia="zh-CN"/>
              </w:rPr>
              <w:t>原省外职称</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FF0000"/>
                <w:sz w:val="21"/>
                <w:szCs w:val="20"/>
              </w:rPr>
            </w:pPr>
            <w:r>
              <w:rPr>
                <w:rFonts w:hint="eastAsia" w:ascii="Times New Roman" w:hAnsi="Times New Roman" w:eastAsia="宋体" w:cs="Times New Roman"/>
                <w:sz w:val="21"/>
                <w:szCs w:val="20"/>
                <w:lang w:eastAsia="zh-CN"/>
              </w:rPr>
              <w:t>评价组织名</w:t>
            </w:r>
            <w:r>
              <w:rPr>
                <w:rFonts w:hint="eastAsia" w:ascii="Times New Roman" w:hAnsi="Times New Roman" w:eastAsia="宋体" w:cs="Times New Roman"/>
                <w:sz w:val="21"/>
                <w:szCs w:val="20"/>
              </w:rPr>
              <w:t>称</w:t>
            </w:r>
          </w:p>
        </w:tc>
        <w:tc>
          <w:tcPr>
            <w:tcW w:w="4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3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eastAsia="zh-CN"/>
              </w:rPr>
              <w:t>评价</w:t>
            </w:r>
            <w:r>
              <w:rPr>
                <w:rFonts w:hint="eastAsia" w:ascii="Times New Roman" w:hAnsi="Times New Roman" w:eastAsia="宋体" w:cs="Times New Roman"/>
                <w:sz w:val="21"/>
                <w:szCs w:val="20"/>
              </w:rPr>
              <w:t>通过</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时间</w:t>
            </w:r>
          </w:p>
        </w:tc>
        <w:tc>
          <w:tcPr>
            <w:tcW w:w="23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c>
          <w:tcPr>
            <w:tcW w:w="157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lang w:eastAsia="zh-CN"/>
              </w:rPr>
            </w:pPr>
            <w:r>
              <w:rPr>
                <w:rFonts w:hint="eastAsia" w:ascii="Times New Roman" w:hAnsi="Times New Roman" w:eastAsia="宋体" w:cs="Times New Roman"/>
                <w:sz w:val="21"/>
                <w:szCs w:val="20"/>
                <w:lang w:eastAsia="zh-CN"/>
              </w:rPr>
              <w:t>原职称</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r>
              <w:rPr>
                <w:rFonts w:hint="eastAsia" w:ascii="Times New Roman" w:hAnsi="Times New Roman" w:eastAsia="宋体" w:cs="Times New Roman"/>
                <w:sz w:val="21"/>
                <w:szCs w:val="20"/>
                <w:lang w:eastAsia="zh-CN"/>
              </w:rPr>
              <w:t>发证单位</w:t>
            </w:r>
          </w:p>
        </w:tc>
        <w:tc>
          <w:tcPr>
            <w:tcW w:w="4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3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现工作</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FF0000"/>
                <w:sz w:val="21"/>
                <w:szCs w:val="20"/>
              </w:rPr>
            </w:pPr>
            <w:r>
              <w:rPr>
                <w:rFonts w:hint="eastAsia" w:ascii="Times New Roman" w:hAnsi="Times New Roman" w:eastAsia="宋体" w:cs="Times New Roman"/>
                <w:sz w:val="21"/>
                <w:szCs w:val="20"/>
              </w:rPr>
              <w:t>单位名称</w:t>
            </w:r>
          </w:p>
        </w:tc>
        <w:tc>
          <w:tcPr>
            <w:tcW w:w="234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FF0000"/>
                <w:sz w:val="21"/>
                <w:szCs w:val="20"/>
              </w:rPr>
            </w:pPr>
          </w:p>
        </w:tc>
        <w:tc>
          <w:tcPr>
            <w:tcW w:w="157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rPr>
            </w:pPr>
            <w:r>
              <w:rPr>
                <w:rFonts w:hint="eastAsia" w:ascii="Times New Roman" w:hAnsi="Times New Roman" w:eastAsia="宋体" w:cs="Times New Roman"/>
                <w:sz w:val="21"/>
                <w:szCs w:val="20"/>
              </w:rPr>
              <w:t>现从事何专业技术工作</w:t>
            </w:r>
          </w:p>
        </w:tc>
        <w:tc>
          <w:tcPr>
            <w:tcW w:w="419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32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lang w:eastAsia="zh-CN"/>
              </w:rPr>
            </w:pPr>
            <w:r>
              <w:rPr>
                <w:rFonts w:hint="eastAsia" w:ascii="Times New Roman" w:hAnsi="Times New Roman" w:eastAsia="宋体" w:cs="Times New Roman"/>
                <w:sz w:val="21"/>
                <w:szCs w:val="20"/>
                <w:lang w:eastAsia="zh-CN"/>
              </w:rPr>
              <w:t>申请确认</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0"/>
                <w:lang w:eastAsia="zh-CN"/>
              </w:rPr>
            </w:pPr>
            <w:r>
              <w:rPr>
                <w:rFonts w:hint="eastAsia" w:ascii="Times New Roman" w:hAnsi="Times New Roman" w:eastAsia="宋体" w:cs="Times New Roman"/>
                <w:sz w:val="21"/>
                <w:szCs w:val="20"/>
                <w:lang w:eastAsia="zh-CN"/>
              </w:rPr>
              <w:t>职称</w:t>
            </w:r>
          </w:p>
        </w:tc>
        <w:tc>
          <w:tcPr>
            <w:tcW w:w="8109"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4472C4"/>
                <w:sz w:val="21"/>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8" w:hRule="atLeast"/>
        </w:trPr>
        <w:tc>
          <w:tcPr>
            <w:tcW w:w="764" w:type="dxa"/>
            <w:noWrap w:val="0"/>
            <w:textDirection w:val="tbRlV"/>
            <w:vAlign w:val="center"/>
          </w:tcPr>
          <w:p>
            <w:pPr>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个人承诺</w:t>
            </w:r>
          </w:p>
        </w:tc>
        <w:tc>
          <w:tcPr>
            <w:tcW w:w="8673" w:type="dxa"/>
            <w:gridSpan w:val="7"/>
            <w:noWrap w:val="0"/>
            <w:vAlign w:val="top"/>
          </w:tcPr>
          <w:p>
            <w:pPr>
              <w:jc w:val="center"/>
              <w:rPr>
                <w:rFonts w:hint="eastAsia" w:ascii="Times New Roman" w:hAnsi="Times New Roman" w:eastAsia="宋体" w:cs="Times New Roman"/>
                <w:sz w:val="21"/>
                <w:szCs w:val="22"/>
                <w:lang w:eastAsia="zh-CN"/>
              </w:rPr>
            </w:pPr>
          </w:p>
          <w:p>
            <w:pPr>
              <w:jc w:val="center"/>
              <w:rPr>
                <w:rFonts w:hint="eastAsia" w:ascii="Times New Roman" w:hAnsi="Times New Roman" w:eastAsia="宋体" w:cs="Times New Roman"/>
                <w:sz w:val="21"/>
                <w:szCs w:val="22"/>
                <w:lang w:eastAsia="zh-CN"/>
              </w:rPr>
            </w:pPr>
          </w:p>
          <w:p>
            <w:pPr>
              <w:ind w:firstLine="210" w:firstLineChars="100"/>
              <w:jc w:val="both"/>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本人承诺：所提交确认的材料真实可靠，如有不实愿意承担由此产生的一切后果。</w:t>
            </w:r>
          </w:p>
          <w:p>
            <w:pPr>
              <w:widowControl w:val="0"/>
              <w:ind w:firstLine="480" w:firstLineChars="200"/>
              <w:jc w:val="both"/>
              <w:rPr>
                <w:rFonts w:hint="eastAsia" w:ascii="Times New Roman" w:hAnsi="Times New Roman" w:eastAsia="宋体" w:cs="Times New Roman"/>
                <w:kern w:val="2"/>
                <w:sz w:val="24"/>
                <w:lang w:val="en-US" w:eastAsia="zh-CN" w:bidi="ar-SA"/>
              </w:rPr>
            </w:pPr>
          </w:p>
          <w:p>
            <w:pPr>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申报人签名：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7" w:hRule="atLeast"/>
        </w:trPr>
        <w:tc>
          <w:tcPr>
            <w:tcW w:w="764" w:type="dxa"/>
            <w:noWrap w:val="0"/>
            <w:textDirection w:val="tbRlV"/>
            <w:vAlign w:val="center"/>
          </w:tcPr>
          <w:p>
            <w:pPr>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用人单位审核</w:t>
            </w:r>
          </w:p>
        </w:tc>
        <w:tc>
          <w:tcPr>
            <w:tcW w:w="8673" w:type="dxa"/>
            <w:gridSpan w:val="7"/>
            <w:noWrap w:val="0"/>
            <w:vAlign w:val="top"/>
          </w:tcPr>
          <w:p>
            <w:pPr>
              <w:jc w:val="center"/>
              <w:rPr>
                <w:rFonts w:hint="eastAsia" w:ascii="Times New Roman" w:hAnsi="Times New Roman" w:eastAsia="宋体" w:cs="Times New Roman"/>
                <w:sz w:val="21"/>
                <w:szCs w:val="20"/>
                <w:lang w:eastAsia="zh-CN"/>
              </w:rPr>
            </w:pPr>
          </w:p>
          <w:p>
            <w:pPr>
              <w:widowControl w:val="0"/>
              <w:jc w:val="both"/>
              <w:rPr>
                <w:rFonts w:hint="eastAsia" w:ascii="Times New Roman" w:hAnsi="Times New Roman" w:eastAsia="宋体" w:cs="Times New Roman"/>
                <w:kern w:val="2"/>
                <w:sz w:val="24"/>
                <w:szCs w:val="22"/>
                <w:lang w:val="en-US" w:eastAsia="zh-CN" w:bidi="ar-SA"/>
              </w:rPr>
            </w:pPr>
          </w:p>
          <w:p>
            <w:pPr>
              <w:widowControl w:val="0"/>
              <w:ind w:firstLine="480" w:firstLineChars="200"/>
              <w:jc w:val="both"/>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4"/>
                <w:szCs w:val="22"/>
                <w:lang w:val="en-US" w:eastAsia="zh-CN" w:bidi="ar-SA"/>
              </w:rPr>
              <w:t xml:space="preserve">                                     </w:t>
            </w:r>
            <w:r>
              <w:rPr>
                <w:rFonts w:hint="eastAsia" w:ascii="Times New Roman" w:hAnsi="Times New Roman" w:eastAsia="宋体" w:cs="Times New Roman"/>
                <w:kern w:val="2"/>
                <w:sz w:val="21"/>
                <w:szCs w:val="22"/>
                <w:lang w:val="en-US" w:eastAsia="zh-CN" w:bidi="ar-SA"/>
              </w:rPr>
              <w:t xml:space="preserve">   （公章）</w:t>
            </w:r>
          </w:p>
          <w:p>
            <w:pPr>
              <w:jc w:val="center"/>
              <w:rPr>
                <w:rFonts w:hint="eastAsia"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 xml:space="preserve">     </w:t>
            </w:r>
          </w:p>
          <w:p>
            <w:pPr>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负责人签名：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3" w:hRule="atLeast"/>
        </w:trPr>
        <w:tc>
          <w:tcPr>
            <w:tcW w:w="764" w:type="dxa"/>
            <w:noWrap w:val="0"/>
            <w:textDirection w:val="tbRlV"/>
            <w:vAlign w:val="center"/>
          </w:tcPr>
          <w:p>
            <w:pPr>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评委会办公室确认意见</w:t>
            </w:r>
          </w:p>
        </w:tc>
        <w:tc>
          <w:tcPr>
            <w:tcW w:w="8673" w:type="dxa"/>
            <w:gridSpan w:val="7"/>
            <w:noWrap w:val="0"/>
            <w:vAlign w:val="top"/>
          </w:tcPr>
          <w:p>
            <w:pPr>
              <w:widowControl w:val="0"/>
              <w:ind w:firstLine="480" w:firstLineChars="200"/>
              <w:jc w:val="both"/>
              <w:rPr>
                <w:rFonts w:hint="eastAsia" w:ascii="Times New Roman" w:hAnsi="Times New Roman" w:eastAsia="宋体" w:cs="Times New Roman"/>
                <w:kern w:val="2"/>
                <w:sz w:val="24"/>
                <w:szCs w:val="22"/>
                <w:lang w:val="en-US" w:eastAsia="zh-CN" w:bidi="ar-SA"/>
              </w:rPr>
            </w:pPr>
          </w:p>
          <w:p>
            <w:pPr>
              <w:widowControl w:val="0"/>
              <w:ind w:firstLine="480" w:firstLineChars="200"/>
              <w:jc w:val="both"/>
              <w:rPr>
                <w:rFonts w:hint="eastAsia" w:ascii="Times New Roman" w:hAnsi="Times New Roman" w:eastAsia="宋体" w:cs="Times New Roman"/>
                <w:kern w:val="2"/>
                <w:sz w:val="24"/>
                <w:szCs w:val="22"/>
                <w:lang w:val="en-US" w:eastAsia="zh-CN" w:bidi="ar-SA"/>
              </w:rPr>
            </w:pPr>
            <w:r>
              <w:rPr>
                <w:rFonts w:hint="eastAsia" w:ascii="Times New Roman" w:hAnsi="Times New Roman" w:eastAsia="宋体" w:cs="Times New Roman"/>
                <w:kern w:val="2"/>
                <w:sz w:val="24"/>
                <w:szCs w:val="22"/>
                <w:lang w:val="en-US" w:eastAsia="zh-CN" w:bidi="ar-SA"/>
              </w:rPr>
              <w:t xml:space="preserve">                  </w:t>
            </w:r>
          </w:p>
          <w:p>
            <w:pPr>
              <w:widowControl w:val="0"/>
              <w:ind w:firstLine="480" w:firstLineChars="200"/>
              <w:jc w:val="both"/>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4"/>
                <w:szCs w:val="22"/>
                <w:lang w:val="en-US" w:eastAsia="zh-CN" w:bidi="ar-SA"/>
              </w:rPr>
              <w:t xml:space="preserve">                   </w:t>
            </w:r>
            <w:r>
              <w:rPr>
                <w:rFonts w:hint="eastAsia" w:ascii="Times New Roman" w:hAnsi="Times New Roman" w:eastAsia="宋体" w:cs="Times New Roman"/>
                <w:kern w:val="2"/>
                <w:sz w:val="21"/>
                <w:szCs w:val="22"/>
                <w:lang w:val="en-US" w:eastAsia="zh-CN" w:bidi="ar-SA"/>
              </w:rPr>
              <w:t xml:space="preserve">                       （公章）</w:t>
            </w:r>
          </w:p>
          <w:p>
            <w:pPr>
              <w:jc w:val="center"/>
              <w:rPr>
                <w:rFonts w:hint="eastAsia" w:ascii="Times New Roman" w:hAnsi="Times New Roman" w:eastAsia="宋体" w:cs="Times New Roman"/>
                <w:sz w:val="21"/>
                <w:szCs w:val="22"/>
                <w:lang w:val="en-US" w:eastAsia="zh-CN"/>
              </w:rPr>
            </w:pPr>
            <w:r>
              <w:rPr>
                <w:rFonts w:hint="eastAsia" w:ascii="Times New Roman" w:hAnsi="Times New Roman" w:eastAsia="宋体" w:cs="Times New Roman"/>
                <w:sz w:val="21"/>
                <w:szCs w:val="22"/>
                <w:lang w:val="en-US" w:eastAsia="zh-CN"/>
              </w:rPr>
              <w:t xml:space="preserve">     </w:t>
            </w:r>
          </w:p>
          <w:p>
            <w:pPr>
              <w:jc w:val="center"/>
              <w:rPr>
                <w:rFonts w:hint="eastAsia" w:ascii="Times New Roman" w:hAnsi="Times New Roman" w:eastAsia="宋体" w:cs="Times New Roman"/>
                <w:sz w:val="21"/>
                <w:szCs w:val="22"/>
                <w:lang w:eastAsia="zh-CN"/>
              </w:rPr>
            </w:pPr>
            <w:r>
              <w:rPr>
                <w:rFonts w:hint="eastAsia" w:ascii="Times New Roman" w:hAnsi="Times New Roman" w:eastAsia="宋体" w:cs="Times New Roman"/>
                <w:sz w:val="21"/>
                <w:szCs w:val="22"/>
                <w:lang w:eastAsia="zh-CN"/>
              </w:rPr>
              <w:t>负责人签名：                  年    月    日</w:t>
            </w:r>
          </w:p>
        </w:tc>
      </w:tr>
    </w:tbl>
    <w:p>
      <w:pPr>
        <w:widowControl/>
        <w:jc w:val="left"/>
        <w:rPr>
          <w:rFonts w:hint="eastAsia" w:ascii="黑体" w:hAnsi="黑体" w:eastAsia="黑体" w:cs="黑体"/>
          <w:sz w:val="32"/>
          <w:szCs w:val="32"/>
          <w:lang w:eastAsia="zh-CN"/>
        </w:rPr>
        <w:sectPr>
          <w:pgSz w:w="11906" w:h="16838"/>
          <w:pgMar w:top="2098" w:right="1417" w:bottom="1531" w:left="1587" w:header="851" w:footer="1372" w:gutter="0"/>
          <w:cols w:space="720" w:num="1"/>
          <w:docGrid w:type="lines" w:linePitch="445" w:charSpace="0"/>
        </w:sectPr>
      </w:pPr>
    </w:p>
    <w:p>
      <w:pPr>
        <w:widowControl/>
        <w:jc w:val="left"/>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6</w:t>
      </w:r>
    </w:p>
    <w:p>
      <w:pPr>
        <w:pStyle w:val="2"/>
        <w:jc w:val="center"/>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i w:val="0"/>
          <w:color w:val="000000"/>
          <w:kern w:val="0"/>
          <w:sz w:val="44"/>
          <w:szCs w:val="44"/>
          <w:u w:val="none"/>
          <w:lang w:val="en-US" w:eastAsia="zh-CN" w:bidi="ar"/>
        </w:rPr>
        <w:t>2020年度职称评审申报材料登记表</w:t>
      </w:r>
    </w:p>
    <w:tbl>
      <w:tblPr>
        <w:tblStyle w:val="7"/>
        <w:tblW w:w="0" w:type="auto"/>
        <w:tblInd w:w="0" w:type="dxa"/>
        <w:tblLayout w:type="fixed"/>
        <w:tblCellMar>
          <w:top w:w="0" w:type="dxa"/>
          <w:left w:w="0" w:type="dxa"/>
          <w:bottom w:w="0" w:type="dxa"/>
          <w:right w:w="0" w:type="dxa"/>
        </w:tblCellMar>
      </w:tblPr>
      <w:tblGrid>
        <w:gridCol w:w="545"/>
        <w:gridCol w:w="853"/>
        <w:gridCol w:w="484"/>
        <w:gridCol w:w="764"/>
        <w:gridCol w:w="918"/>
        <w:gridCol w:w="914"/>
        <w:gridCol w:w="914"/>
        <w:gridCol w:w="914"/>
        <w:gridCol w:w="543"/>
        <w:gridCol w:w="1080"/>
        <w:gridCol w:w="1156"/>
        <w:gridCol w:w="793"/>
        <w:gridCol w:w="1067"/>
        <w:gridCol w:w="1406"/>
        <w:gridCol w:w="1172"/>
      </w:tblGrid>
      <w:tr>
        <w:tblPrEx>
          <w:tblCellMar>
            <w:top w:w="0" w:type="dxa"/>
            <w:left w:w="0" w:type="dxa"/>
            <w:bottom w:w="0" w:type="dxa"/>
            <w:right w:w="0" w:type="dxa"/>
          </w:tblCellMar>
        </w:tblPrEx>
        <w:trPr>
          <w:trHeight w:val="300" w:hRule="atLeast"/>
        </w:trPr>
        <w:tc>
          <w:tcPr>
            <w:tcW w:w="13523" w:type="dxa"/>
            <w:gridSpan w:val="15"/>
            <w:tcBorders>
              <w:top w:val="nil"/>
              <w:left w:val="nil"/>
              <w:bottom w:val="single" w:color="000000" w:sz="4" w:space="0"/>
              <w:right w:val="nil"/>
            </w:tcBorders>
            <w:noWrap w:val="0"/>
            <w:tcMar>
              <w:top w:w="10" w:type="dxa"/>
              <w:left w:w="10" w:type="dxa"/>
              <w:right w:w="10" w:type="dxa"/>
            </w:tcMar>
            <w:vAlign w:val="center"/>
          </w:tcPr>
          <w:p>
            <w:pPr>
              <w:keepNext w:val="0"/>
              <w:keepLines w:val="0"/>
              <w:widowControl/>
              <w:suppressLineNumbers w:val="0"/>
              <w:jc w:val="left"/>
              <w:textAlignment w:val="center"/>
              <w:rPr>
                <w:rFonts w:hint="eastAsia" w:ascii="楷体_GB2312" w:hAnsi="楷体_GB2312" w:eastAsia="楷体_GB2312" w:cs="楷体_GB2312"/>
                <w:i w:val="0"/>
                <w:color w:val="000000"/>
                <w:sz w:val="24"/>
                <w:szCs w:val="24"/>
                <w:u w:val="none"/>
              </w:rPr>
            </w:pPr>
            <w:r>
              <w:rPr>
                <w:rFonts w:hint="eastAsia" w:ascii="楷体_GB2312" w:hAnsi="楷体_GB2312" w:eastAsia="楷体_GB2312" w:cs="楷体_GB2312"/>
                <w:i w:val="0"/>
                <w:color w:val="000000"/>
                <w:kern w:val="0"/>
                <w:sz w:val="24"/>
                <w:szCs w:val="24"/>
                <w:u w:val="none"/>
                <w:lang w:val="en-US" w:eastAsia="zh-CN" w:bidi="ar"/>
              </w:rPr>
              <w:t>填报单位（盖章）：</w:t>
            </w:r>
          </w:p>
        </w:tc>
      </w:tr>
      <w:tr>
        <w:tblPrEx>
          <w:tblCellMar>
            <w:top w:w="0" w:type="dxa"/>
            <w:left w:w="0" w:type="dxa"/>
            <w:bottom w:w="0" w:type="dxa"/>
            <w:right w:w="0" w:type="dxa"/>
          </w:tblCellMar>
        </w:tblPrEx>
        <w:trPr>
          <w:trHeight w:val="300" w:hRule="atLeast"/>
        </w:trPr>
        <w:tc>
          <w:tcPr>
            <w:tcW w:w="545" w:type="dxa"/>
            <w:vMerge w:val="restart"/>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序号</w:t>
            </w:r>
          </w:p>
        </w:tc>
        <w:tc>
          <w:tcPr>
            <w:tcW w:w="853" w:type="dxa"/>
            <w:vMerge w:val="restart"/>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姓名</w:t>
            </w:r>
          </w:p>
        </w:tc>
        <w:tc>
          <w:tcPr>
            <w:tcW w:w="484" w:type="dxa"/>
            <w:vMerge w:val="restart"/>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kern w:val="0"/>
                <w:sz w:val="24"/>
                <w:szCs w:val="24"/>
                <w:u w:val="none"/>
                <w:lang w:val="en-US" w:eastAsia="zh-CN" w:bidi="ar"/>
              </w:rPr>
            </w:pPr>
            <w:r>
              <w:rPr>
                <w:rFonts w:hint="eastAsia" w:ascii="黑体" w:hAnsi="黑体" w:eastAsia="黑体" w:cs="黑体"/>
                <w:b w:val="0"/>
                <w:bCs/>
                <w:i w:val="0"/>
                <w:color w:val="000000"/>
                <w:kern w:val="0"/>
                <w:sz w:val="24"/>
                <w:szCs w:val="24"/>
                <w:u w:val="none"/>
                <w:lang w:val="en-US" w:eastAsia="zh-CN" w:bidi="ar"/>
              </w:rPr>
              <w:t>性</w:t>
            </w:r>
          </w:p>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别</w:t>
            </w:r>
          </w:p>
        </w:tc>
        <w:tc>
          <w:tcPr>
            <w:tcW w:w="764" w:type="dxa"/>
            <w:vMerge w:val="restart"/>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kern w:val="0"/>
                <w:sz w:val="24"/>
                <w:szCs w:val="24"/>
                <w:u w:val="none"/>
                <w:lang w:val="en-US" w:eastAsia="zh-CN" w:bidi="ar"/>
              </w:rPr>
            </w:pPr>
            <w:r>
              <w:rPr>
                <w:rFonts w:hint="eastAsia" w:ascii="黑体" w:hAnsi="黑体" w:eastAsia="黑体" w:cs="黑体"/>
                <w:b w:val="0"/>
                <w:bCs/>
                <w:i w:val="0"/>
                <w:color w:val="000000"/>
                <w:kern w:val="0"/>
                <w:sz w:val="24"/>
                <w:szCs w:val="24"/>
                <w:u w:val="none"/>
                <w:lang w:val="en-US" w:eastAsia="zh-CN" w:bidi="ar"/>
              </w:rPr>
              <w:t>出生</w:t>
            </w:r>
          </w:p>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时间</w:t>
            </w:r>
          </w:p>
        </w:tc>
        <w:tc>
          <w:tcPr>
            <w:tcW w:w="918" w:type="dxa"/>
            <w:vMerge w:val="restart"/>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kern w:val="0"/>
                <w:sz w:val="24"/>
                <w:szCs w:val="24"/>
                <w:u w:val="none"/>
                <w:lang w:val="en-US" w:eastAsia="zh-CN" w:bidi="ar"/>
              </w:rPr>
            </w:pPr>
            <w:r>
              <w:rPr>
                <w:rFonts w:hint="eastAsia" w:ascii="黑体" w:hAnsi="黑体" w:eastAsia="黑体" w:cs="黑体"/>
                <w:b w:val="0"/>
                <w:bCs/>
                <w:i w:val="0"/>
                <w:color w:val="000000"/>
                <w:kern w:val="0"/>
                <w:sz w:val="24"/>
                <w:szCs w:val="24"/>
                <w:u w:val="none"/>
                <w:lang w:val="en-US" w:eastAsia="zh-CN" w:bidi="ar"/>
              </w:rPr>
              <w:t>工作</w:t>
            </w:r>
          </w:p>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单位</w:t>
            </w:r>
          </w:p>
        </w:tc>
        <w:tc>
          <w:tcPr>
            <w:tcW w:w="2742" w:type="dxa"/>
            <w:gridSpan w:val="3"/>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申报情况</w:t>
            </w:r>
          </w:p>
        </w:tc>
        <w:tc>
          <w:tcPr>
            <w:tcW w:w="3572" w:type="dxa"/>
            <w:gridSpan w:val="4"/>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基本条件</w:t>
            </w:r>
          </w:p>
        </w:tc>
        <w:tc>
          <w:tcPr>
            <w:tcW w:w="3645" w:type="dxa"/>
            <w:gridSpan w:val="3"/>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其他信息</w:t>
            </w:r>
          </w:p>
        </w:tc>
      </w:tr>
      <w:tr>
        <w:tblPrEx>
          <w:tblCellMar>
            <w:top w:w="0" w:type="dxa"/>
            <w:left w:w="0" w:type="dxa"/>
            <w:bottom w:w="0" w:type="dxa"/>
            <w:right w:w="0" w:type="dxa"/>
          </w:tblCellMar>
        </w:tblPrEx>
        <w:trPr>
          <w:trHeight w:val="600" w:hRule="atLeast"/>
        </w:trPr>
        <w:tc>
          <w:tcPr>
            <w:tcW w:w="545" w:type="dxa"/>
            <w:vMerge w:val="continue"/>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jc w:val="center"/>
              <w:rPr>
                <w:rFonts w:hint="eastAsia" w:ascii="黑体" w:hAnsi="黑体" w:eastAsia="黑体" w:cs="黑体"/>
                <w:b w:val="0"/>
                <w:bCs/>
                <w:i w:val="0"/>
                <w:color w:val="000000"/>
                <w:sz w:val="24"/>
                <w:szCs w:val="24"/>
                <w:u w:val="none"/>
              </w:rPr>
            </w:pPr>
          </w:p>
        </w:tc>
        <w:tc>
          <w:tcPr>
            <w:tcW w:w="853" w:type="dxa"/>
            <w:vMerge w:val="continue"/>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jc w:val="center"/>
              <w:rPr>
                <w:rFonts w:hint="eastAsia" w:ascii="黑体" w:hAnsi="黑体" w:eastAsia="黑体" w:cs="黑体"/>
                <w:b w:val="0"/>
                <w:bCs/>
                <w:i w:val="0"/>
                <w:color w:val="000000"/>
                <w:sz w:val="24"/>
                <w:szCs w:val="24"/>
                <w:u w:val="none"/>
              </w:rPr>
            </w:pPr>
          </w:p>
        </w:tc>
        <w:tc>
          <w:tcPr>
            <w:tcW w:w="484" w:type="dxa"/>
            <w:vMerge w:val="continue"/>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jc w:val="center"/>
              <w:rPr>
                <w:rFonts w:hint="eastAsia" w:ascii="黑体" w:hAnsi="黑体" w:eastAsia="黑体" w:cs="黑体"/>
                <w:b w:val="0"/>
                <w:bCs/>
                <w:i w:val="0"/>
                <w:color w:val="000000"/>
                <w:sz w:val="24"/>
                <w:szCs w:val="24"/>
                <w:u w:val="none"/>
              </w:rPr>
            </w:pPr>
          </w:p>
        </w:tc>
        <w:tc>
          <w:tcPr>
            <w:tcW w:w="764" w:type="dxa"/>
            <w:vMerge w:val="continue"/>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jc w:val="center"/>
              <w:rPr>
                <w:rFonts w:hint="eastAsia" w:ascii="黑体" w:hAnsi="黑体" w:eastAsia="黑体" w:cs="黑体"/>
                <w:b w:val="0"/>
                <w:bCs/>
                <w:i w:val="0"/>
                <w:color w:val="000000"/>
                <w:sz w:val="24"/>
                <w:szCs w:val="24"/>
                <w:u w:val="none"/>
              </w:rPr>
            </w:pPr>
          </w:p>
        </w:tc>
        <w:tc>
          <w:tcPr>
            <w:tcW w:w="918" w:type="dxa"/>
            <w:vMerge w:val="continue"/>
            <w:tcBorders>
              <w:top w:val="nil"/>
              <w:left w:val="single" w:color="000000" w:sz="4" w:space="0"/>
              <w:bottom w:val="single" w:color="000000" w:sz="4" w:space="0"/>
              <w:right w:val="single" w:color="000000" w:sz="4" w:space="0"/>
            </w:tcBorders>
            <w:noWrap w:val="0"/>
            <w:tcMar>
              <w:top w:w="10" w:type="dxa"/>
              <w:left w:w="10" w:type="dxa"/>
              <w:right w:w="10" w:type="dxa"/>
            </w:tcMar>
            <w:vAlign w:val="center"/>
          </w:tcPr>
          <w:p>
            <w:pPr>
              <w:jc w:val="center"/>
              <w:rPr>
                <w:rFonts w:hint="eastAsia" w:ascii="黑体" w:hAnsi="黑体" w:eastAsia="黑体" w:cs="黑体"/>
                <w:b w:val="0"/>
                <w:bCs/>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kern w:val="0"/>
                <w:sz w:val="24"/>
                <w:szCs w:val="24"/>
                <w:u w:val="none"/>
                <w:lang w:val="en-US" w:eastAsia="zh-CN" w:bidi="ar"/>
              </w:rPr>
            </w:pPr>
            <w:r>
              <w:rPr>
                <w:rFonts w:hint="eastAsia" w:ascii="黑体" w:hAnsi="黑体" w:eastAsia="黑体" w:cs="黑体"/>
                <w:b w:val="0"/>
                <w:bCs/>
                <w:i w:val="0"/>
                <w:color w:val="000000"/>
                <w:kern w:val="0"/>
                <w:sz w:val="24"/>
                <w:szCs w:val="24"/>
                <w:u w:val="none"/>
                <w:lang w:val="en-US" w:eastAsia="zh-CN" w:bidi="ar"/>
              </w:rPr>
              <w:t>申报</w:t>
            </w:r>
          </w:p>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专业</w:t>
            </w: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kern w:val="0"/>
                <w:sz w:val="24"/>
                <w:szCs w:val="24"/>
                <w:u w:val="none"/>
                <w:lang w:val="en-US" w:eastAsia="zh-CN" w:bidi="ar"/>
              </w:rPr>
            </w:pPr>
            <w:r>
              <w:rPr>
                <w:rFonts w:hint="eastAsia" w:ascii="黑体" w:hAnsi="黑体" w:eastAsia="黑体" w:cs="黑体"/>
                <w:b w:val="0"/>
                <w:bCs/>
                <w:i w:val="0"/>
                <w:color w:val="000000"/>
                <w:kern w:val="0"/>
                <w:sz w:val="24"/>
                <w:szCs w:val="24"/>
                <w:u w:val="none"/>
                <w:lang w:val="en-US" w:eastAsia="zh-CN" w:bidi="ar"/>
              </w:rPr>
              <w:t>细分</w:t>
            </w:r>
          </w:p>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类别</w:t>
            </w: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kern w:val="0"/>
                <w:sz w:val="24"/>
                <w:szCs w:val="24"/>
                <w:u w:val="none"/>
                <w:lang w:val="en-US" w:eastAsia="zh-CN" w:bidi="ar"/>
              </w:rPr>
            </w:pPr>
            <w:r>
              <w:rPr>
                <w:rFonts w:hint="eastAsia" w:ascii="黑体" w:hAnsi="黑体" w:eastAsia="黑体" w:cs="黑体"/>
                <w:b w:val="0"/>
                <w:bCs/>
                <w:i w:val="0"/>
                <w:color w:val="000000"/>
                <w:kern w:val="0"/>
                <w:sz w:val="24"/>
                <w:szCs w:val="24"/>
                <w:u w:val="none"/>
                <w:lang w:val="en-US" w:eastAsia="zh-CN" w:bidi="ar"/>
              </w:rPr>
              <w:t>申报</w:t>
            </w:r>
          </w:p>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级别</w:t>
            </w:r>
          </w:p>
        </w:tc>
        <w:tc>
          <w:tcPr>
            <w:tcW w:w="54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英语</w:t>
            </w:r>
          </w:p>
        </w:tc>
        <w:tc>
          <w:tcPr>
            <w:tcW w:w="10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计算机</w:t>
            </w:r>
          </w:p>
        </w:tc>
        <w:tc>
          <w:tcPr>
            <w:tcW w:w="11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继续教育</w:t>
            </w:r>
          </w:p>
        </w:tc>
        <w:tc>
          <w:tcPr>
            <w:tcW w:w="79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kern w:val="0"/>
                <w:sz w:val="24"/>
                <w:szCs w:val="24"/>
                <w:u w:val="none"/>
                <w:lang w:val="en-US" w:eastAsia="zh-CN" w:bidi="ar"/>
              </w:rPr>
            </w:pPr>
            <w:r>
              <w:rPr>
                <w:rFonts w:hint="eastAsia" w:ascii="黑体" w:hAnsi="黑体" w:eastAsia="黑体" w:cs="黑体"/>
                <w:b w:val="0"/>
                <w:bCs/>
                <w:i w:val="0"/>
                <w:color w:val="000000"/>
                <w:kern w:val="0"/>
                <w:sz w:val="24"/>
                <w:szCs w:val="24"/>
                <w:u w:val="none"/>
                <w:lang w:val="en-US" w:eastAsia="zh-CN" w:bidi="ar"/>
              </w:rPr>
              <w:t>论文</w:t>
            </w:r>
          </w:p>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（篇）</w:t>
            </w:r>
          </w:p>
        </w:tc>
        <w:tc>
          <w:tcPr>
            <w:tcW w:w="10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行政职务</w:t>
            </w:r>
          </w:p>
        </w:tc>
        <w:tc>
          <w:tcPr>
            <w:tcW w:w="140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手机号码</w:t>
            </w:r>
          </w:p>
        </w:tc>
        <w:tc>
          <w:tcPr>
            <w:tcW w:w="117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widowControl/>
              <w:suppressLineNumbers w:val="0"/>
              <w:jc w:val="center"/>
              <w:textAlignment w:val="center"/>
              <w:rPr>
                <w:rFonts w:hint="eastAsia" w:ascii="黑体" w:hAnsi="黑体" w:eastAsia="黑体" w:cs="黑体"/>
                <w:b w:val="0"/>
                <w:bCs/>
                <w:i w:val="0"/>
                <w:color w:val="000000"/>
                <w:kern w:val="0"/>
                <w:sz w:val="24"/>
                <w:szCs w:val="24"/>
                <w:u w:val="none"/>
                <w:lang w:val="en-US" w:eastAsia="zh-CN" w:bidi="ar"/>
              </w:rPr>
            </w:pPr>
            <w:r>
              <w:rPr>
                <w:rFonts w:hint="eastAsia" w:ascii="黑体" w:hAnsi="黑体" w:eastAsia="黑体" w:cs="黑体"/>
                <w:b w:val="0"/>
                <w:bCs/>
                <w:i w:val="0"/>
                <w:color w:val="000000"/>
                <w:kern w:val="0"/>
                <w:sz w:val="24"/>
                <w:szCs w:val="24"/>
                <w:u w:val="none"/>
                <w:lang w:val="en-US" w:eastAsia="zh-CN" w:bidi="ar"/>
              </w:rPr>
              <w:t>材料</w:t>
            </w:r>
          </w:p>
          <w:p>
            <w:pPr>
              <w:keepNext w:val="0"/>
              <w:keepLines w:val="0"/>
              <w:widowControl/>
              <w:suppressLineNumbers w:val="0"/>
              <w:jc w:val="center"/>
              <w:textAlignment w:val="center"/>
              <w:rPr>
                <w:rFonts w:hint="eastAsia" w:ascii="黑体" w:hAnsi="黑体" w:eastAsia="黑体" w:cs="黑体"/>
                <w:b w:val="0"/>
                <w:bCs/>
                <w:i w:val="0"/>
                <w:color w:val="000000"/>
                <w:sz w:val="24"/>
                <w:szCs w:val="24"/>
                <w:u w:val="none"/>
              </w:rPr>
            </w:pPr>
            <w:r>
              <w:rPr>
                <w:rFonts w:hint="eastAsia" w:ascii="黑体" w:hAnsi="黑体" w:eastAsia="黑体" w:cs="黑体"/>
                <w:b w:val="0"/>
                <w:bCs/>
                <w:i w:val="0"/>
                <w:color w:val="000000"/>
                <w:kern w:val="0"/>
                <w:sz w:val="24"/>
                <w:szCs w:val="24"/>
                <w:u w:val="none"/>
                <w:lang w:val="en-US" w:eastAsia="zh-CN" w:bidi="ar"/>
              </w:rPr>
              <w:t>（盒/袋）</w:t>
            </w:r>
          </w:p>
        </w:tc>
      </w:tr>
      <w:tr>
        <w:tblPrEx>
          <w:tblCellMar>
            <w:top w:w="0" w:type="dxa"/>
            <w:left w:w="0" w:type="dxa"/>
            <w:bottom w:w="0" w:type="dxa"/>
            <w:right w:w="0" w:type="dxa"/>
          </w:tblCellMar>
        </w:tblPrEx>
        <w:trPr>
          <w:trHeight w:val="705" w:hRule="atLeast"/>
        </w:trPr>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85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48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54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79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0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40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17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705" w:hRule="atLeast"/>
        </w:trPr>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85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48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54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79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0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40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17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705" w:hRule="atLeast"/>
        </w:trPr>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85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48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54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79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0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40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17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r>
      <w:tr>
        <w:tblPrEx>
          <w:tblCellMar>
            <w:top w:w="0" w:type="dxa"/>
            <w:left w:w="0" w:type="dxa"/>
            <w:bottom w:w="0" w:type="dxa"/>
            <w:right w:w="0" w:type="dxa"/>
          </w:tblCellMar>
        </w:tblPrEx>
        <w:trPr>
          <w:trHeight w:val="705" w:hRule="atLeast"/>
        </w:trPr>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85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48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54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79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0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40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117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r>
      <w:tr>
        <w:tblPrEx>
          <w:tblCellMar>
            <w:top w:w="0" w:type="dxa"/>
            <w:left w:w="0" w:type="dxa"/>
            <w:bottom w:w="0" w:type="dxa"/>
            <w:right w:w="0" w:type="dxa"/>
          </w:tblCellMar>
        </w:tblPrEx>
        <w:trPr>
          <w:trHeight w:val="705" w:hRule="atLeast"/>
        </w:trPr>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85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48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54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79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0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40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17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r>
      <w:tr>
        <w:tblPrEx>
          <w:tblCellMar>
            <w:top w:w="0" w:type="dxa"/>
            <w:left w:w="0" w:type="dxa"/>
            <w:bottom w:w="0" w:type="dxa"/>
            <w:right w:w="0" w:type="dxa"/>
          </w:tblCellMar>
        </w:tblPrEx>
        <w:trPr>
          <w:trHeight w:val="705" w:hRule="atLeast"/>
        </w:trPr>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i w:val="0"/>
                <w:color w:val="000000"/>
                <w:sz w:val="24"/>
                <w:szCs w:val="24"/>
                <w:u w:val="none"/>
              </w:rPr>
            </w:pPr>
          </w:p>
        </w:tc>
        <w:tc>
          <w:tcPr>
            <w:tcW w:w="85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48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9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54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1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79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067"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40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c>
          <w:tcPr>
            <w:tcW w:w="117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i/>
                <w:color w:val="000000"/>
                <w:sz w:val="24"/>
                <w:szCs w:val="24"/>
                <w:u w:val="none"/>
              </w:rPr>
            </w:pPr>
          </w:p>
        </w:tc>
      </w:tr>
      <w:tr>
        <w:tblPrEx>
          <w:tblCellMar>
            <w:top w:w="0" w:type="dxa"/>
            <w:left w:w="0" w:type="dxa"/>
            <w:bottom w:w="0" w:type="dxa"/>
            <w:right w:w="0" w:type="dxa"/>
          </w:tblCellMar>
        </w:tblPrEx>
        <w:trPr>
          <w:trHeight w:val="705" w:hRule="atLeast"/>
        </w:trPr>
        <w:tc>
          <w:tcPr>
            <w:tcW w:w="13523" w:type="dxa"/>
            <w:gridSpan w:val="15"/>
            <w:vMerge w:val="restart"/>
            <w:tcBorders>
              <w:top w:val="single" w:color="000000" w:sz="4" w:space="0"/>
              <w:left w:val="nil"/>
              <w:bottom w:val="nil"/>
              <w:right w:val="nil"/>
            </w:tcBorders>
            <w:noWrap w:val="0"/>
            <w:tcMar>
              <w:top w:w="10" w:type="dxa"/>
              <w:left w:w="10" w:type="dxa"/>
              <w:right w:w="10" w:type="dxa"/>
            </w:tcMar>
            <w:vAlign w:val="center"/>
          </w:tcPr>
          <w:p>
            <w:pPr>
              <w:keepNext w:val="0"/>
              <w:keepLines w:val="0"/>
              <w:widowControl/>
              <w:suppressLineNumbers w:val="0"/>
              <w:jc w:val="left"/>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细分类别:标准化分为农业标准化、工业标准化、服务业标准化三类；计量分为长度、力学、热工、电磁、无线电、光学、声学、电离辐射、化学、时间频率十类；质量分为机械、电器、轻工、食品、化工、纺织服装、消防、建材、质量认证、其它十类；特种设备分为机电类、承压类两类）</w:t>
            </w:r>
            <w:r>
              <w:rPr>
                <w:rStyle w:val="11"/>
                <w:lang w:val="en-US" w:eastAsia="zh-CN" w:bidi="ar"/>
              </w:rPr>
              <w:t>。</w:t>
            </w:r>
          </w:p>
        </w:tc>
      </w:tr>
      <w:tr>
        <w:tblPrEx>
          <w:tblCellMar>
            <w:top w:w="0" w:type="dxa"/>
            <w:left w:w="0" w:type="dxa"/>
            <w:bottom w:w="0" w:type="dxa"/>
            <w:right w:w="0" w:type="dxa"/>
          </w:tblCellMar>
        </w:tblPrEx>
        <w:trPr>
          <w:trHeight w:val="255" w:hRule="atLeast"/>
        </w:trPr>
        <w:tc>
          <w:tcPr>
            <w:tcW w:w="13523" w:type="dxa"/>
            <w:gridSpan w:val="15"/>
            <w:vMerge w:val="continue"/>
            <w:tcBorders>
              <w:top w:val="single" w:color="000000" w:sz="4" w:space="0"/>
              <w:left w:val="nil"/>
              <w:bottom w:val="nil"/>
              <w:right w:val="nil"/>
            </w:tcBorders>
            <w:noWrap w:val="0"/>
            <w:tcMar>
              <w:top w:w="10" w:type="dxa"/>
              <w:left w:w="10" w:type="dxa"/>
              <w:right w:w="10" w:type="dxa"/>
            </w:tcMar>
            <w:vAlign w:val="center"/>
          </w:tcPr>
          <w:p>
            <w:pPr>
              <w:jc w:val="left"/>
              <w:rPr>
                <w:rFonts w:hint="eastAsia" w:ascii="仿宋" w:hAnsi="仿宋" w:eastAsia="仿宋" w:cs="仿宋"/>
                <w:b/>
                <w:i w:val="0"/>
                <w:color w:val="000000"/>
                <w:sz w:val="20"/>
                <w:szCs w:val="20"/>
                <w:u w:val="none"/>
              </w:rPr>
            </w:pPr>
          </w:p>
        </w:tc>
      </w:tr>
    </w:tbl>
    <w:p>
      <w:pPr>
        <w:spacing w:beforeLines="0" w:afterLines="0" w:line="500" w:lineRule="exact"/>
        <w:rPr>
          <w:rFonts w:hint="eastAsia" w:ascii="黑体" w:hAnsi="黑体" w:eastAsia="黑体" w:cs="黑体"/>
          <w:b w:val="0"/>
          <w:bCs w:val="0"/>
          <w:sz w:val="32"/>
          <w:szCs w:val="32"/>
          <w:highlight w:val="none"/>
          <w:lang w:eastAsia="zh-CN"/>
        </w:rPr>
        <w:sectPr>
          <w:pgSz w:w="16838" w:h="11906" w:orient="landscape"/>
          <w:pgMar w:top="1587" w:right="2098" w:bottom="1417" w:left="1531" w:header="851" w:footer="1372" w:gutter="0"/>
          <w:cols w:space="720" w:num="1"/>
          <w:docGrid w:type="lines" w:linePitch="445" w:charSpace="0"/>
        </w:sectPr>
      </w:pPr>
    </w:p>
    <w:p>
      <w:pPr>
        <w:spacing w:beforeLines="0" w:afterLines="0" w:line="500" w:lineRule="exact"/>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eastAsia="zh-CN"/>
        </w:rPr>
        <w:t>附件</w:t>
      </w:r>
      <w:r>
        <w:rPr>
          <w:rFonts w:hint="eastAsia" w:ascii="黑体" w:hAnsi="黑体" w:eastAsia="黑体" w:cs="黑体"/>
          <w:b w:val="0"/>
          <w:bCs w:val="0"/>
          <w:sz w:val="32"/>
          <w:szCs w:val="32"/>
          <w:highlight w:val="none"/>
          <w:lang w:val="en-US" w:eastAsia="zh-CN"/>
        </w:rPr>
        <w:t>7</w:t>
      </w:r>
    </w:p>
    <w:p>
      <w:pPr>
        <w:pStyle w:val="3"/>
        <w:spacing w:after="0" w:line="360" w:lineRule="auto"/>
        <w:ind w:left="0" w:leftChars="0"/>
        <w:jc w:val="both"/>
        <w:rPr>
          <w:rFonts w:hint="eastAsia" w:ascii="黑体" w:hAnsi="黑体" w:eastAsia="黑体" w:cs="黑体"/>
          <w:b w:val="0"/>
          <w:bCs/>
          <w:sz w:val="32"/>
          <w:szCs w:val="32"/>
          <w:lang w:eastAsia="zh-CN"/>
        </w:rPr>
      </w:pPr>
    </w:p>
    <w:p>
      <w:pPr>
        <w:pStyle w:val="3"/>
        <w:keepNext w:val="0"/>
        <w:keepLines w:val="0"/>
        <w:pageBreakBefore w:val="0"/>
        <w:kinsoku/>
        <w:wordWrap/>
        <w:overflowPunct/>
        <w:topLinePunct w:val="0"/>
        <w:autoSpaceDE/>
        <w:autoSpaceDN/>
        <w:bidi w:val="0"/>
        <w:adjustRightInd/>
        <w:snapToGrid/>
        <w:spacing w:after="0" w:afterLines="0" w:line="600" w:lineRule="exact"/>
        <w:ind w:left="0" w:leftChars="0"/>
        <w:jc w:val="center"/>
        <w:textAlignment w:val="auto"/>
        <w:rPr>
          <w:rFonts w:hint="eastAsia" w:ascii="方正小标宋简体" w:hAnsi="宋体" w:eastAsia="方正小标宋简体" w:cs="Times New Roman"/>
          <w:b w:val="0"/>
          <w:bCs/>
          <w:sz w:val="44"/>
          <w:szCs w:val="44"/>
        </w:rPr>
      </w:pPr>
      <w:r>
        <w:rPr>
          <w:rFonts w:hint="eastAsia" w:ascii="方正小标宋简体" w:hAnsi="宋体" w:eastAsia="方正小标宋简体" w:cs="Times New Roman"/>
          <w:b w:val="0"/>
          <w:bCs/>
          <w:sz w:val="44"/>
          <w:szCs w:val="44"/>
        </w:rPr>
        <w:t>广东省高级工程师（教授级）专业技术</w:t>
      </w:r>
    </w:p>
    <w:p>
      <w:pPr>
        <w:pStyle w:val="3"/>
        <w:keepNext w:val="0"/>
        <w:keepLines w:val="0"/>
        <w:pageBreakBefore w:val="0"/>
        <w:kinsoku/>
        <w:wordWrap/>
        <w:overflowPunct/>
        <w:topLinePunct w:val="0"/>
        <w:autoSpaceDE/>
        <w:autoSpaceDN/>
        <w:bidi w:val="0"/>
        <w:adjustRightInd/>
        <w:snapToGrid/>
        <w:spacing w:after="0" w:afterLines="0" w:line="600" w:lineRule="exact"/>
        <w:ind w:left="0" w:leftChars="0"/>
        <w:jc w:val="center"/>
        <w:textAlignment w:val="auto"/>
        <w:rPr>
          <w:rFonts w:hint="eastAsia" w:ascii="方正小标宋简体" w:hAnsi="宋体" w:eastAsia="方正小标宋简体" w:cs="Times New Roman"/>
          <w:b w:val="0"/>
          <w:bCs/>
          <w:sz w:val="44"/>
          <w:szCs w:val="44"/>
        </w:rPr>
      </w:pPr>
      <w:r>
        <w:rPr>
          <w:rFonts w:hint="eastAsia" w:ascii="方正小标宋简体" w:hAnsi="宋体" w:eastAsia="方正小标宋简体" w:cs="Times New Roman"/>
          <w:b w:val="0"/>
          <w:bCs/>
          <w:sz w:val="44"/>
          <w:szCs w:val="44"/>
        </w:rPr>
        <w:t>资格评审面试答辩工作的指导意见（试行）</w:t>
      </w:r>
    </w:p>
    <w:p>
      <w:pPr>
        <w:pStyle w:val="3"/>
        <w:keepNext w:val="0"/>
        <w:keepLines w:val="0"/>
        <w:pageBreakBefore w:val="0"/>
        <w:kinsoku/>
        <w:wordWrap/>
        <w:overflowPunct/>
        <w:topLinePunct w:val="0"/>
        <w:autoSpaceDE/>
        <w:autoSpaceDN/>
        <w:bidi w:val="0"/>
        <w:adjustRightInd/>
        <w:snapToGrid/>
        <w:spacing w:after="0" w:afterLines="0" w:line="600" w:lineRule="exact"/>
        <w:ind w:left="0" w:leftChars="0"/>
        <w:jc w:val="center"/>
        <w:textAlignment w:val="auto"/>
        <w:rPr>
          <w:rFonts w:hint="eastAsia" w:ascii="仿宋_GB2312" w:hAnsi="Times New Roman" w:eastAsia="仿宋_GB2312" w:cs="Times New Roman"/>
          <w:b w:val="0"/>
          <w:bCs/>
          <w:sz w:val="44"/>
          <w:szCs w:val="44"/>
        </w:rPr>
      </w:pPr>
    </w:p>
    <w:p>
      <w:pPr>
        <w:pStyle w:val="3"/>
        <w:keepNext w:val="0"/>
        <w:keepLines w:val="0"/>
        <w:pageBreakBefore w:val="0"/>
        <w:widowControl w:val="0"/>
        <w:kinsoku/>
        <w:wordWrap/>
        <w:overflowPunct/>
        <w:topLinePunct w:val="0"/>
        <w:autoSpaceDE/>
        <w:autoSpaceDN/>
        <w:bidi w:val="0"/>
        <w:adjustRightInd/>
        <w:snapToGrid/>
        <w:spacing w:after="0" w:afterLines="0" w:line="600" w:lineRule="exact"/>
        <w:ind w:left="0" w:leftChars="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高级工程师（教授级）资格评委会各专业评审组：</w:t>
      </w:r>
    </w:p>
    <w:p>
      <w:pPr>
        <w:pStyle w:val="3"/>
        <w:keepNext w:val="0"/>
        <w:keepLines w:val="0"/>
        <w:pageBreakBefore w:val="0"/>
        <w:widowControl w:val="0"/>
        <w:kinsoku/>
        <w:wordWrap/>
        <w:overflowPunct/>
        <w:topLinePunct w:val="0"/>
        <w:autoSpaceDE/>
        <w:autoSpaceDN/>
        <w:bidi w:val="0"/>
        <w:adjustRightInd/>
        <w:snapToGrid/>
        <w:spacing w:after="0" w:afterLines="0" w:line="600" w:lineRule="exact"/>
        <w:ind w:left="0" w:leftChars="0" w:firstLine="640" w:firstLineChars="20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为进一步提高高级工程师（教授级）专业技术资格的评审质量，推进评价工作科学化，根据今年职称评审通知 “关于高级工程师（教授级）专业技术资格专业组评审全面推行面试答辩”要求和有关职称政策规定，结</w:t>
      </w:r>
      <w:r>
        <w:rPr>
          <w:rFonts w:hint="default" w:ascii="Times New Roman" w:hAnsi="Times New Roman" w:eastAsia="仿宋_GB2312" w:cs="Times New Roman"/>
          <w:sz w:val="32"/>
          <w:szCs w:val="32"/>
        </w:rPr>
        <w:t>合2011年</w:t>
      </w:r>
      <w:r>
        <w:rPr>
          <w:rFonts w:hint="eastAsia" w:ascii="仿宋_GB2312" w:hAnsi="Times New Roman" w:eastAsia="仿宋_GB2312" w:cs="Times New Roman"/>
          <w:sz w:val="32"/>
          <w:szCs w:val="32"/>
        </w:rPr>
        <w:t>高级工程师（教授级）资格评审面试答辩试点情况，现就做好面试答辩工作，提出以下指导意见：</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黑体" w:hAnsi="黑体" w:eastAsia="黑体" w:cs="黑体"/>
          <w:b w:val="0"/>
          <w:bCs/>
          <w:color w:val="000000"/>
          <w:kern w:val="0"/>
          <w:sz w:val="32"/>
          <w:szCs w:val="32"/>
          <w:lang w:val="en-US" w:eastAsia="zh-CN" w:bidi="ar-SA"/>
        </w:rPr>
      </w:pPr>
      <w:r>
        <w:rPr>
          <w:rFonts w:hint="eastAsia" w:ascii="黑体" w:hAnsi="黑体" w:eastAsia="黑体" w:cs="黑体"/>
          <w:b w:val="0"/>
          <w:bCs/>
          <w:color w:val="000000"/>
          <w:kern w:val="0"/>
          <w:sz w:val="32"/>
          <w:szCs w:val="32"/>
          <w:lang w:val="en-US" w:eastAsia="zh-CN" w:bidi="ar-SA"/>
        </w:rPr>
        <w:t>一、面试答辩的目的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Times New Roman" w:eastAsia="仿宋_GB2312" w:cs="Tahoma"/>
          <w:color w:val="000000"/>
          <w:sz w:val="32"/>
          <w:szCs w:val="32"/>
        </w:rPr>
      </w:pPr>
      <w:r>
        <w:rPr>
          <w:rFonts w:hint="eastAsia" w:ascii="仿宋_GB2312" w:hAnsi="Times New Roman" w:eastAsia="仿宋_GB2312" w:cs="Tahoma"/>
          <w:color w:val="000000"/>
          <w:sz w:val="32"/>
          <w:szCs w:val="32"/>
        </w:rPr>
        <w:t>面试答辩是科学、客观地评价专业技术人员的学识水平、专业技术水平和业务工作能力的重要手段。通过面试答辩，有助于评委判定申报人的业绩成果、论文著作等材料的真实性，有助于评委全面直接地了解和掌握申报人的专业技术水平、工作能力和业绩等情况，以便对申报人做出更加客观公正的评价。面试答辩</w:t>
      </w:r>
      <w:r>
        <w:rPr>
          <w:rFonts w:hint="eastAsia" w:ascii="仿宋_GB2312" w:hAnsi="Times New Roman" w:eastAsia="仿宋_GB2312" w:cs="Tahoma"/>
          <w:sz w:val="32"/>
          <w:szCs w:val="32"/>
        </w:rPr>
        <w:t>是专业组评审的重要组成部分，面试答辩结果作为专业评审组</w:t>
      </w:r>
      <w:r>
        <w:rPr>
          <w:rFonts w:hint="eastAsia" w:ascii="仿宋_GB2312" w:hAnsi="Times New Roman" w:eastAsia="仿宋_GB2312" w:cs="Times New Roman"/>
          <w:sz w:val="32"/>
          <w:szCs w:val="32"/>
        </w:rPr>
        <w:t>和评委会</w:t>
      </w:r>
      <w:r>
        <w:rPr>
          <w:rFonts w:hint="eastAsia" w:ascii="仿宋_GB2312" w:hAnsi="Times New Roman" w:eastAsia="仿宋_GB2312" w:cs="Tahoma"/>
          <w:sz w:val="32"/>
          <w:szCs w:val="32"/>
        </w:rPr>
        <w:t>讨论评议和投票表决时的重要参考。</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黑体" w:hAnsi="黑体" w:eastAsia="黑体" w:cs="黑体"/>
          <w:b w:val="0"/>
          <w:bCs/>
          <w:color w:val="000000"/>
          <w:kern w:val="0"/>
          <w:sz w:val="32"/>
          <w:szCs w:val="32"/>
          <w:lang w:val="en-US" w:eastAsia="zh-CN" w:bidi="ar-SA"/>
        </w:rPr>
      </w:pPr>
      <w:r>
        <w:rPr>
          <w:rFonts w:hint="eastAsia" w:ascii="黑体" w:hAnsi="黑体" w:eastAsia="黑体" w:cs="黑体"/>
          <w:b w:val="0"/>
          <w:bCs/>
          <w:color w:val="000000"/>
          <w:kern w:val="0"/>
          <w:sz w:val="32"/>
          <w:szCs w:val="32"/>
          <w:lang w:val="en-US" w:eastAsia="zh-CN" w:bidi="ar-SA"/>
        </w:rPr>
        <w:t>二、面试答辩的基本原则</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仿宋_GB2312" w:hAnsi="宋体" w:eastAsia="仿宋_GB2312" w:cs="Tahoma"/>
          <w:kern w:val="0"/>
          <w:sz w:val="32"/>
          <w:szCs w:val="32"/>
          <w:lang w:val="en-US" w:eastAsia="zh-CN" w:bidi="ar-SA"/>
        </w:rPr>
      </w:pPr>
      <w:r>
        <w:rPr>
          <w:rFonts w:hint="eastAsia" w:ascii="仿宋_GB2312" w:hAnsi="宋体" w:eastAsia="仿宋_GB2312" w:cs="Tahoma"/>
          <w:color w:val="000000"/>
          <w:kern w:val="0"/>
          <w:sz w:val="32"/>
          <w:szCs w:val="32"/>
          <w:lang w:val="en-US" w:eastAsia="zh-CN" w:bidi="ar-SA"/>
        </w:rPr>
        <w:t>面试答辩要坚持公平、公正，客观、规范，</w:t>
      </w:r>
      <w:r>
        <w:rPr>
          <w:rFonts w:hint="eastAsia" w:ascii="仿宋_GB2312" w:hAnsi="宋体" w:eastAsia="仿宋_GB2312" w:cs="Tahoma"/>
          <w:kern w:val="0"/>
          <w:sz w:val="32"/>
          <w:szCs w:val="32"/>
          <w:lang w:val="en-US" w:eastAsia="zh-CN" w:bidi="ar-SA"/>
        </w:rPr>
        <w:t>坚持</w:t>
      </w:r>
      <w:r>
        <w:rPr>
          <w:rFonts w:hint="eastAsia" w:ascii="仿宋_GB2312" w:hAnsi="宋体" w:eastAsia="仿宋_GB2312" w:cs="Tahoma"/>
          <w:color w:val="000000"/>
          <w:kern w:val="0"/>
          <w:sz w:val="32"/>
          <w:szCs w:val="32"/>
          <w:lang w:val="en-US" w:eastAsia="zh-CN" w:bidi="ar-SA"/>
        </w:rPr>
        <w:t>突出业绩和能力为先、社会和业内认可的原则进行。</w:t>
      </w:r>
      <w:r>
        <w:rPr>
          <w:rFonts w:hint="eastAsia" w:ascii="仿宋_GB2312" w:hAnsi="宋体" w:eastAsia="仿宋_GB2312" w:cs="Tahoma"/>
          <w:kern w:val="0"/>
          <w:sz w:val="32"/>
          <w:szCs w:val="32"/>
          <w:lang w:val="en-US" w:eastAsia="zh-CN" w:bidi="ar-SA"/>
        </w:rPr>
        <w:t>面试答辩结果申报当年一次性有效，不对外公布，面试答辩结束不得进行复议、复评。</w:t>
      </w:r>
      <w:r>
        <w:rPr>
          <w:rFonts w:hint="eastAsia" w:ascii="仿宋_GB2312" w:hAnsi="宋体" w:eastAsia="仿宋_GB2312" w:cs="Tahoma"/>
          <w:color w:val="000000"/>
          <w:kern w:val="0"/>
          <w:sz w:val="32"/>
          <w:szCs w:val="32"/>
          <w:lang w:val="en-US" w:eastAsia="zh-CN" w:bidi="ar-SA"/>
        </w:rPr>
        <w:t>申报人不按要求参加面试答辩</w:t>
      </w:r>
      <w:r>
        <w:rPr>
          <w:rFonts w:hint="eastAsia" w:ascii="仿宋_GB2312" w:hAnsi="宋体" w:eastAsia="仿宋_GB2312" w:cs="Tahoma"/>
          <w:color w:val="000000"/>
          <w:spacing w:val="-10"/>
          <w:kern w:val="0"/>
          <w:sz w:val="32"/>
          <w:szCs w:val="32"/>
          <w:lang w:val="en-US" w:eastAsia="zh-CN" w:bidi="ar-SA"/>
        </w:rPr>
        <w:t>的，其申报材料不再提交评委会评审。</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黑体" w:hAnsi="黑体" w:eastAsia="黑体" w:cs="黑体"/>
          <w:b w:val="0"/>
          <w:bCs/>
          <w:color w:val="000000"/>
          <w:kern w:val="0"/>
          <w:sz w:val="32"/>
          <w:szCs w:val="32"/>
          <w:lang w:val="en-US" w:eastAsia="zh-CN" w:bidi="ar-SA"/>
        </w:rPr>
      </w:pPr>
      <w:r>
        <w:rPr>
          <w:rFonts w:hint="eastAsia" w:ascii="黑体" w:hAnsi="黑体" w:eastAsia="黑体" w:cs="黑体"/>
          <w:b w:val="0"/>
          <w:bCs/>
          <w:color w:val="000000"/>
          <w:kern w:val="0"/>
          <w:sz w:val="32"/>
          <w:szCs w:val="32"/>
          <w:lang w:val="en-US" w:eastAsia="zh-CN" w:bidi="ar-SA"/>
        </w:rPr>
        <w:t>三、面试答辩的对象和内容结构</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仿宋_GB2312" w:hAnsi="宋体" w:eastAsia="仿宋_GB2312" w:cs="Tahoma"/>
          <w:color w:val="000000"/>
          <w:kern w:val="0"/>
          <w:sz w:val="32"/>
          <w:szCs w:val="32"/>
          <w:lang w:val="en-US" w:eastAsia="zh-CN" w:bidi="ar-SA"/>
        </w:rPr>
      </w:pPr>
      <w:r>
        <w:rPr>
          <w:rFonts w:hint="eastAsia" w:ascii="仿宋_GB2312" w:hAnsi="宋体" w:eastAsia="仿宋_GB2312" w:cs="Tahoma"/>
          <w:color w:val="000000"/>
          <w:kern w:val="0"/>
          <w:sz w:val="32"/>
          <w:szCs w:val="32"/>
          <w:lang w:val="en-US" w:eastAsia="zh-CN" w:bidi="ar-SA"/>
        </w:rPr>
        <w:t>面试答辩对象：</w:t>
      </w:r>
      <w:r>
        <w:rPr>
          <w:rFonts w:hint="eastAsia" w:ascii="仿宋_GB2312" w:hAnsi="宋体" w:eastAsia="仿宋_GB2312" w:cs="宋体"/>
          <w:kern w:val="0"/>
          <w:sz w:val="32"/>
          <w:szCs w:val="32"/>
          <w:lang w:val="en-US" w:eastAsia="zh-CN" w:bidi="ar-SA"/>
        </w:rPr>
        <w:t>经高级工程师（教授级）各专业评审组</w:t>
      </w:r>
      <w:r>
        <w:rPr>
          <w:rFonts w:hint="eastAsia" w:ascii="仿宋_GB2312" w:hAnsi="宋体" w:eastAsia="仿宋_GB2312" w:cs="Tahoma"/>
          <w:color w:val="000000"/>
          <w:kern w:val="0"/>
          <w:sz w:val="32"/>
          <w:szCs w:val="32"/>
          <w:lang w:val="en-US" w:eastAsia="zh-CN" w:bidi="ar-SA"/>
        </w:rPr>
        <w:t>审核，符合申报高级工程师（教授级）资格的专业技术人员均属于面试答辩对象范围。</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仿宋_GB2312" w:hAnsi="宋体" w:eastAsia="仿宋_GB2312" w:cs="Arial"/>
          <w:kern w:val="0"/>
          <w:sz w:val="32"/>
          <w:szCs w:val="32"/>
          <w:lang w:val="en-US" w:eastAsia="zh-CN" w:bidi="ar-SA"/>
        </w:rPr>
      </w:pPr>
      <w:r>
        <w:rPr>
          <w:rFonts w:hint="eastAsia" w:ascii="仿宋_GB2312" w:hAnsi="宋体" w:eastAsia="仿宋_GB2312" w:cs="Tahoma"/>
          <w:color w:val="000000"/>
          <w:kern w:val="0"/>
          <w:sz w:val="32"/>
          <w:szCs w:val="32"/>
          <w:lang w:val="en-US" w:eastAsia="zh-CN" w:bidi="ar-SA"/>
        </w:rPr>
        <w:t>面试答辩一般应有申报人自我工作简述、回答其工作业绩成果和论文著作等方面的内容。</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27" w:firstLineChars="196"/>
        <w:jc w:val="both"/>
        <w:textAlignment w:val="auto"/>
        <w:rPr>
          <w:rFonts w:hint="eastAsia" w:ascii="仿宋_GB2312" w:hAnsi="宋体" w:eastAsia="仿宋_GB2312" w:cs="Tahoma"/>
          <w:color w:val="000000"/>
          <w:kern w:val="0"/>
          <w:sz w:val="32"/>
          <w:szCs w:val="32"/>
          <w:lang w:val="en-US" w:eastAsia="zh-CN" w:bidi="ar-SA"/>
        </w:rPr>
      </w:pPr>
      <w:r>
        <w:rPr>
          <w:rFonts w:hint="eastAsia" w:ascii="仿宋_GB2312" w:hAnsi="宋体" w:eastAsia="仿宋_GB2312" w:cs="Tahoma"/>
          <w:color w:val="000000"/>
          <w:kern w:val="0"/>
          <w:sz w:val="32"/>
          <w:szCs w:val="32"/>
          <w:lang w:val="en-US" w:eastAsia="zh-CN" w:bidi="ar-SA"/>
        </w:rPr>
        <w:t>工作简述要求申报人对获现专业技术资格以来的专业技术工作经历和业绩情况等进行简要陈述。专业问题由面试答辩评委主要根据申报人的业绩成果、论文著作等拟定，其中一题侧重申报人的专业技术工作经历（能力）和业绩成果情况，另一题侧重申报人的论文、著作或专项技术分析报告、专业技术工作报告等。</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黑体" w:hAnsi="黑体" w:eastAsia="黑体" w:cs="黑体"/>
          <w:b w:val="0"/>
          <w:bCs/>
          <w:color w:val="000000"/>
          <w:kern w:val="0"/>
          <w:sz w:val="32"/>
          <w:szCs w:val="32"/>
          <w:lang w:val="en-US" w:eastAsia="zh-CN" w:bidi="ar-SA"/>
        </w:rPr>
      </w:pPr>
      <w:r>
        <w:rPr>
          <w:rFonts w:hint="eastAsia" w:ascii="黑体" w:hAnsi="黑体" w:eastAsia="黑体" w:cs="黑体"/>
          <w:b w:val="0"/>
          <w:bCs/>
          <w:color w:val="000000"/>
          <w:kern w:val="0"/>
          <w:sz w:val="32"/>
          <w:szCs w:val="32"/>
          <w:lang w:val="en-US" w:eastAsia="zh-CN" w:bidi="ar-SA"/>
        </w:rPr>
        <w:t>四、面试答辩的组织实施</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仿宋_GB2312" w:hAnsi="宋体" w:eastAsia="仿宋_GB2312" w:cs="Tahoma"/>
          <w:color w:val="000000"/>
          <w:kern w:val="0"/>
          <w:sz w:val="32"/>
          <w:szCs w:val="32"/>
          <w:lang w:val="en-US" w:eastAsia="zh-CN" w:bidi="ar-SA"/>
        </w:rPr>
      </w:pPr>
      <w:r>
        <w:rPr>
          <w:rFonts w:hint="eastAsia" w:ascii="仿宋_GB2312" w:hAnsi="宋体" w:eastAsia="仿宋_GB2312" w:cs="Tahoma"/>
          <w:color w:val="000000"/>
          <w:kern w:val="0"/>
          <w:sz w:val="32"/>
          <w:szCs w:val="32"/>
          <w:lang w:val="en-US" w:eastAsia="zh-CN" w:bidi="ar-SA"/>
        </w:rPr>
        <w:t>广东省高级工程师（教授级）专业技术资格评审委员会日常工作部门办公室负责面试答辩的指导协调；</w:t>
      </w:r>
      <w:r>
        <w:rPr>
          <w:rFonts w:hint="eastAsia" w:ascii="仿宋_GB2312" w:hAnsi="宋体" w:eastAsia="仿宋_GB2312" w:cs="宋体"/>
          <w:kern w:val="0"/>
          <w:sz w:val="32"/>
          <w:szCs w:val="32"/>
          <w:lang w:val="en-US" w:eastAsia="zh-CN" w:bidi="ar-SA"/>
        </w:rPr>
        <w:t>高级工程师（教授级）专业评审组</w:t>
      </w:r>
      <w:r>
        <w:rPr>
          <w:rFonts w:hint="eastAsia" w:ascii="仿宋_GB2312" w:hAnsi="宋体" w:eastAsia="仿宋_GB2312" w:cs="Tahoma"/>
          <w:color w:val="000000"/>
          <w:kern w:val="0"/>
          <w:sz w:val="32"/>
          <w:szCs w:val="32"/>
          <w:lang w:val="en-US" w:eastAsia="zh-CN" w:bidi="ar-SA"/>
        </w:rPr>
        <w:t>负责面试答辩的组织实施和具体操作。</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r>
        <w:rPr>
          <w:rFonts w:hint="eastAsia" w:ascii="仿宋_GB2312" w:hAnsi="宋体" w:eastAsia="仿宋_GB2312" w:cs="Tahoma"/>
          <w:color w:val="000000"/>
          <w:kern w:val="0"/>
          <w:sz w:val="32"/>
          <w:szCs w:val="32"/>
          <w:lang w:val="en-US" w:eastAsia="zh-CN" w:bidi="ar-SA"/>
        </w:rPr>
        <w:t>面试答辩的评委一般由出席专业组评审会议的评委</w:t>
      </w:r>
      <w:r>
        <w:rPr>
          <w:rFonts w:hint="eastAsia" w:ascii="仿宋_GB2312" w:hAnsi="宋体" w:eastAsia="仿宋_GB2312" w:cs="Tahoma"/>
          <w:color w:val="000000"/>
          <w:spacing w:val="-16"/>
          <w:kern w:val="0"/>
          <w:sz w:val="32"/>
          <w:szCs w:val="32"/>
          <w:lang w:val="en-US" w:eastAsia="zh-CN" w:bidi="ar-SA"/>
        </w:rPr>
        <w:t>担任。</w:t>
      </w:r>
      <w:r>
        <w:rPr>
          <w:rFonts w:hint="eastAsia" w:ascii="仿宋_GB2312" w:hAnsi="宋体" w:eastAsia="仿宋_GB2312" w:cs="宋体"/>
          <w:kern w:val="0"/>
          <w:sz w:val="32"/>
          <w:szCs w:val="32"/>
          <w:lang w:val="en-US" w:eastAsia="zh-CN" w:bidi="ar-SA"/>
        </w:rPr>
        <w:t>高级</w:t>
      </w:r>
      <w:r>
        <w:rPr>
          <w:rFonts w:hint="default" w:ascii="Times New Roman" w:hAnsi="Times New Roman" w:eastAsia="仿宋_GB2312" w:cs="Times New Roman"/>
          <w:kern w:val="0"/>
          <w:sz w:val="32"/>
          <w:szCs w:val="32"/>
          <w:lang w:val="en-US" w:eastAsia="zh-CN" w:bidi="ar-SA"/>
        </w:rPr>
        <w:t>工程师（教授级）各专业评审组可</w:t>
      </w:r>
      <w:r>
        <w:rPr>
          <w:rFonts w:hint="default" w:ascii="Times New Roman" w:hAnsi="Times New Roman" w:eastAsia="仿宋_GB2312" w:cs="Times New Roman"/>
          <w:color w:val="000000"/>
          <w:spacing w:val="-16"/>
          <w:kern w:val="0"/>
          <w:sz w:val="32"/>
          <w:szCs w:val="32"/>
          <w:lang w:val="en-US" w:eastAsia="zh-CN" w:bidi="ar-SA"/>
        </w:rPr>
        <w:t>根据其自身专业设置</w:t>
      </w:r>
      <w:r>
        <w:rPr>
          <w:rFonts w:hint="default" w:ascii="Times New Roman" w:hAnsi="Times New Roman" w:eastAsia="仿宋_GB2312" w:cs="Times New Roman"/>
          <w:color w:val="000000"/>
          <w:kern w:val="0"/>
          <w:sz w:val="32"/>
          <w:szCs w:val="32"/>
          <w:lang w:val="en-US" w:eastAsia="zh-CN" w:bidi="ar-SA"/>
        </w:rPr>
        <w:t>和申报人数等情况组成若干面试答辩小组进行，面试答辩小组组成人员不少于3人。面试答辩的时间原则上为每人15至20分钟。必要时面试答辩评委可视情适当缩短或延长答辩时间。</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面试答辩评委的职责：</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1.负责面试答辩问题的拟定；</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2.按规定要求开展面试答辩工作，并做好面试答辩记录；</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3.按照评价要素，客观、公正地对面试答辩对象进行评价。</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高级工程师（教授级）资格各专业评审组负责做好面试答辩会议的简要记录，包括面试答辩的时间、地点、对象、面试答辩题目及回答要点、面试答辩主持人、提问评委、评委成员等。</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黑体" w:hAnsi="黑体" w:eastAsia="黑体" w:cs="黑体"/>
          <w:b w:val="0"/>
          <w:bCs/>
          <w:color w:val="000000"/>
          <w:kern w:val="0"/>
          <w:sz w:val="32"/>
          <w:szCs w:val="32"/>
          <w:lang w:val="en-US" w:eastAsia="zh-CN" w:bidi="ar-SA"/>
        </w:rPr>
      </w:pPr>
      <w:r>
        <w:rPr>
          <w:rFonts w:hint="eastAsia" w:ascii="黑体" w:hAnsi="黑体" w:eastAsia="黑体" w:cs="黑体"/>
          <w:b w:val="0"/>
          <w:bCs/>
          <w:color w:val="000000"/>
          <w:kern w:val="0"/>
          <w:sz w:val="32"/>
          <w:szCs w:val="32"/>
          <w:lang w:val="en-US" w:eastAsia="zh-CN" w:bidi="ar-SA"/>
        </w:rPr>
        <w:t>五、纪律要求</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（一）申报人必须携带有效身份证件并经工作人员验证后，进行面试答辩。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（二）申报人必须服从工作人员指挥，维护答辩会场秩序和遵守场内纪律。答辩时，未经事先批准不得携带参考书籍和通讯工具。</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（三）答辩中，必须做到有问必答。答辩完毕，不得在场内滞留。退场后不得与未答辩人员交流。</w:t>
      </w:r>
      <w:r>
        <w:rPr>
          <w:rFonts w:hint="default" w:ascii="Times New Roman" w:hAnsi="Times New Roman" w:eastAsia="仿宋_GB2312" w:cs="Times New Roman"/>
          <w:sz w:val="32"/>
          <w:szCs w:val="32"/>
        </w:rPr>
        <w:br w:type="textWrapping"/>
      </w:r>
      <w:r>
        <w:rPr>
          <w:rFonts w:hint="default" w:ascii="Times New Roman" w:hAnsi="Times New Roman" w:eastAsia="仿宋_GB2312" w:cs="Times New Roman"/>
          <w:sz w:val="32"/>
          <w:szCs w:val="32"/>
        </w:rPr>
        <w:t xml:space="preserve">    （四）</w:t>
      </w:r>
      <w:r>
        <w:rPr>
          <w:rFonts w:hint="default" w:ascii="Times New Roman" w:hAnsi="Times New Roman" w:eastAsia="仿宋_GB2312" w:cs="Times New Roman"/>
          <w:color w:val="000000"/>
          <w:sz w:val="32"/>
          <w:szCs w:val="32"/>
        </w:rPr>
        <w:t>面试答辩工作实行回避制度。面试答辩评委或</w:t>
      </w:r>
      <w:r>
        <w:rPr>
          <w:rFonts w:hint="default" w:ascii="Times New Roman" w:hAnsi="Times New Roman" w:eastAsia="仿宋_GB2312" w:cs="Times New Roman"/>
          <w:sz w:val="32"/>
          <w:szCs w:val="32"/>
        </w:rPr>
        <w:t>高级工程师（教授级）资格专业评审组</w:t>
      </w:r>
      <w:r>
        <w:rPr>
          <w:rFonts w:hint="default" w:ascii="Times New Roman" w:hAnsi="Times New Roman" w:eastAsia="仿宋_GB2312" w:cs="Times New Roman"/>
          <w:color w:val="000000"/>
          <w:sz w:val="32"/>
          <w:szCs w:val="32"/>
        </w:rPr>
        <w:t>按有关规定需要与申报人回避的，应在面试答辩的组织实施工作中全程回避。</w:t>
      </w:r>
    </w:p>
    <w:p>
      <w:pPr>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color w:val="000000"/>
          <w:kern w:val="0"/>
          <w:sz w:val="32"/>
          <w:szCs w:val="32"/>
          <w:lang w:val="en-US" w:eastAsia="zh-CN" w:bidi="ar-SA"/>
        </w:rPr>
        <w:t>（五）</w:t>
      </w:r>
      <w:r>
        <w:rPr>
          <w:rFonts w:hint="default" w:ascii="Times New Roman" w:hAnsi="Times New Roman" w:eastAsia="仿宋_GB2312" w:cs="Times New Roman"/>
          <w:kern w:val="2"/>
          <w:sz w:val="32"/>
          <w:szCs w:val="32"/>
          <w:lang w:val="en-US" w:eastAsia="zh-CN" w:bidi="ar-SA"/>
        </w:rPr>
        <w:t>面试答辩评委和有关工作人员应认真履行职责，严守保密纪律，不得泄露面试答辩题目、评议内容和表决情况等，不对外接受有关面试答辩情况的查询，不得有弄虚作假、徇私舞弊、包庇偏袒、打击报复等违纪违规行为。</w:t>
      </w:r>
    </w:p>
    <w:p>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default" w:ascii="Times New Roman" w:hAnsi="Times New Roman" w:eastAsia="仿宋_GB2312" w:cs="Times New Roman"/>
          <w:color w:val="000000"/>
          <w:kern w:val="0"/>
          <w:sz w:val="32"/>
          <w:szCs w:val="32"/>
          <w:lang w:val="en-US" w:eastAsia="zh-CN" w:bidi="ar-SA"/>
        </w:rPr>
      </w:pPr>
    </w:p>
    <w:p>
      <w:pPr>
        <w:keepNext w:val="0"/>
        <w:keepLines w:val="0"/>
        <w:pageBreakBefore w:val="0"/>
        <w:kinsoku/>
        <w:wordWrap/>
        <w:overflowPunct/>
        <w:topLinePunct w:val="0"/>
        <w:autoSpaceDE/>
        <w:autoSpaceDN/>
        <w:bidi w:val="0"/>
        <w:adjustRightInd/>
        <w:snapToGrid/>
        <w:spacing w:line="600" w:lineRule="exact"/>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w:t>
      </w:r>
    </w:p>
    <w:p>
      <w:pPr>
        <w:keepNext w:val="0"/>
        <w:keepLines w:val="0"/>
        <w:pageBreakBefore w:val="0"/>
        <w:kinsoku/>
        <w:wordWrap/>
        <w:overflowPunct/>
        <w:topLinePunct w:val="0"/>
        <w:autoSpaceDE/>
        <w:autoSpaceDN/>
        <w:bidi w:val="0"/>
        <w:adjustRightInd/>
        <w:snapToGrid/>
        <w:spacing w:line="600" w:lineRule="exact"/>
        <w:ind w:firstLine="3680" w:firstLineChars="1150"/>
        <w:jc w:val="both"/>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 xml:space="preserve"> </w:t>
      </w:r>
    </w:p>
    <w:p>
      <w:pPr>
        <w:keepNext w:val="0"/>
        <w:keepLines w:val="0"/>
        <w:pageBreakBefore w:val="0"/>
        <w:kinsoku/>
        <w:wordWrap/>
        <w:overflowPunct/>
        <w:topLinePunct w:val="0"/>
        <w:autoSpaceDE/>
        <w:autoSpaceDN/>
        <w:bidi w:val="0"/>
        <w:adjustRightInd/>
        <w:snapToGrid/>
        <w:spacing w:line="600" w:lineRule="exact"/>
        <w:ind w:firstLine="1600" w:firstLineChars="5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省人力资源和社会保障厅专业技术人员管理处</w:t>
      </w:r>
    </w:p>
    <w:p>
      <w:pPr>
        <w:keepNext w:val="0"/>
        <w:keepLines w:val="0"/>
        <w:pageBreakBefore w:val="0"/>
        <w:kinsoku/>
        <w:wordWrap/>
        <w:overflowPunct/>
        <w:topLinePunct w:val="0"/>
        <w:autoSpaceDE/>
        <w:autoSpaceDN/>
        <w:bidi w:val="0"/>
        <w:adjustRightInd/>
        <w:snapToGrid/>
        <w:spacing w:line="600" w:lineRule="exact"/>
        <w:ind w:firstLine="4000" w:firstLineChars="125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2012年9月4日</w:t>
      </w:r>
    </w:p>
    <w:p>
      <w:pPr>
        <w:pStyle w:val="2"/>
        <w:keepNext w:val="0"/>
        <w:keepLines w:val="0"/>
        <w:pageBreakBefore w:val="0"/>
        <w:kinsoku/>
        <w:wordWrap/>
        <w:overflowPunct/>
        <w:topLinePunct w:val="0"/>
        <w:autoSpaceDE/>
        <w:autoSpaceDN/>
        <w:bidi w:val="0"/>
        <w:adjustRightInd/>
        <w:snapToGrid/>
        <w:spacing w:line="600" w:lineRule="exact"/>
        <w:ind w:left="0" w:leftChars="0" w:firstLine="0" w:firstLineChars="0"/>
        <w:jc w:val="both"/>
        <w:textAlignment w:val="auto"/>
        <w:rPr>
          <w:rFonts w:hint="default"/>
          <w:lang w:val="en-US" w:eastAsia="zh-CN"/>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sectPr>
          <w:pgSz w:w="11906" w:h="16838"/>
          <w:pgMar w:top="2098" w:right="1417" w:bottom="1531" w:left="1587" w:header="851" w:footer="1372" w:gutter="0"/>
          <w:cols w:space="720" w:num="1"/>
          <w:docGrid w:type="lines" w:linePitch="445" w:charSpace="0"/>
        </w:sectPr>
      </w:pPr>
    </w:p>
    <w:p>
      <w:pPr>
        <w:pStyle w:val="2"/>
        <w:rPr>
          <w:rFonts w:hint="eastAsia"/>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pPr>
        <w:rPr>
          <w:rFonts w:hint="eastAsia" w:ascii="黑体" w:hAnsi="黑体" w:eastAsia="黑体"/>
          <w:szCs w:val="30"/>
        </w:rPr>
      </w:pPr>
    </w:p>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Arial Unicode MS"/>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ind w:left="320" w:leftChars="100" w:right="320" w:rightChars="100"/>
      <w:rPr>
        <w:rStyle w:val="10"/>
        <w:rFonts w:ascii="宋体" w:hAnsi="宋体"/>
        <w:sz w:val="28"/>
      </w:rPr>
    </w:pPr>
    <w:r>
      <w:rPr>
        <w:rStyle w:val="10"/>
        <w:rFonts w:hint="eastAsia" w:ascii="宋体" w:hAnsi="宋体"/>
        <w:sz w:val="28"/>
      </w:rPr>
      <w:t xml:space="preserve">— </w:t>
    </w:r>
    <w:r>
      <w:rPr>
        <w:rFonts w:hint="eastAsia" w:ascii="宋体" w:hAnsi="宋体"/>
        <w:sz w:val="28"/>
      </w:rPr>
      <w:fldChar w:fldCharType="begin"/>
    </w:r>
    <w:r>
      <w:rPr>
        <w:rStyle w:val="10"/>
        <w:rFonts w:hint="eastAsia" w:ascii="宋体" w:hAnsi="宋体"/>
        <w:sz w:val="28"/>
      </w:rPr>
      <w:instrText xml:space="preserve">PAGE  </w:instrText>
    </w:r>
    <w:r>
      <w:rPr>
        <w:rFonts w:ascii="宋体" w:hAnsi="宋体"/>
        <w:sz w:val="28"/>
      </w:rPr>
      <w:fldChar w:fldCharType="separate"/>
    </w:r>
    <w:r>
      <w:rPr>
        <w:rStyle w:val="10"/>
        <w:rFonts w:ascii="宋体" w:hAnsi="宋体"/>
        <w:sz w:val="28"/>
      </w:rPr>
      <w:t>1</w:t>
    </w:r>
    <w:r>
      <w:rPr>
        <w:rFonts w:hint="eastAsia" w:ascii="宋体" w:hAnsi="宋体"/>
        <w:sz w:val="28"/>
      </w:rPr>
      <w:fldChar w:fldCharType="end"/>
    </w:r>
    <w:r>
      <w:rPr>
        <w:rStyle w:val="10"/>
        <w:rFonts w:hint="eastAsia" w:ascii="宋体" w:hAnsi="宋体"/>
        <w:sz w:val="28"/>
      </w:rPr>
      <w:t xml:space="preserve"> —</w: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ind w:left="320" w:leftChars="100" w:right="320" w:rightChars="100"/>
      <w:rPr>
        <w:rStyle w:val="10"/>
        <w:rFonts w:ascii="宋体" w:hAnsi="宋体"/>
        <w:sz w:val="28"/>
      </w:rPr>
    </w:pPr>
    <w:r>
      <w:rPr>
        <w:rStyle w:val="10"/>
        <w:rFonts w:hint="eastAsia" w:ascii="宋体" w:hAnsi="宋体"/>
        <w:sz w:val="28"/>
      </w:rPr>
      <w:t xml:space="preserve">— </w:t>
    </w:r>
    <w:r>
      <w:rPr>
        <w:rFonts w:hint="eastAsia" w:ascii="宋体" w:hAnsi="宋体"/>
        <w:sz w:val="28"/>
      </w:rPr>
      <w:fldChar w:fldCharType="begin"/>
    </w:r>
    <w:r>
      <w:rPr>
        <w:rStyle w:val="10"/>
        <w:rFonts w:hint="eastAsia" w:ascii="宋体" w:hAnsi="宋体"/>
        <w:sz w:val="28"/>
      </w:rPr>
      <w:instrText xml:space="preserve">PAGE  </w:instrText>
    </w:r>
    <w:r>
      <w:rPr>
        <w:rFonts w:ascii="宋体" w:hAnsi="宋体"/>
        <w:sz w:val="28"/>
      </w:rPr>
      <w:fldChar w:fldCharType="separate"/>
    </w:r>
    <w:r>
      <w:rPr>
        <w:rStyle w:val="10"/>
        <w:rFonts w:ascii="宋体" w:hAnsi="宋体"/>
        <w:sz w:val="28"/>
      </w:rPr>
      <w:t>2</w:t>
    </w:r>
    <w:r>
      <w:rPr>
        <w:rFonts w:hint="eastAsia" w:ascii="宋体" w:hAnsi="宋体"/>
        <w:sz w:val="28"/>
      </w:rPr>
      <w:fldChar w:fldCharType="end"/>
    </w:r>
    <w:r>
      <w:rPr>
        <w:rStyle w:val="10"/>
        <w:rFonts w:hint="eastAsia" w:ascii="宋体" w:hAnsi="宋体"/>
        <w:sz w:val="28"/>
      </w:rPr>
      <w:t xml:space="preserve"> —</w:t>
    </w:r>
  </w:p>
  <w:p>
    <w:pPr>
      <w:pStyle w:val="4"/>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3465C5"/>
    <w:rsid w:val="433465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9">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widowControl w:val="0"/>
      <w:ind w:firstLine="420" w:firstLineChars="200"/>
    </w:pPr>
    <w:rPr>
      <w:rFonts w:ascii="Times New Roman" w:hAnsi="Times New Roman" w:cs="Times New Roman"/>
      <w:sz w:val="24"/>
    </w:rPr>
  </w:style>
  <w:style w:type="paragraph" w:styleId="3">
    <w:name w:val="Body Text Indent"/>
    <w:uiPriority w:val="0"/>
    <w:pPr>
      <w:widowControl w:val="0"/>
      <w:spacing w:after="120" w:afterLines="0"/>
      <w:ind w:left="420" w:leftChars="200"/>
      <w:jc w:val="both"/>
    </w:pPr>
    <w:rPr>
      <w:rFonts w:ascii="Times New Roman" w:hAnsi="Times New Roman" w:eastAsia="宋体" w:cs="Times New Roman"/>
      <w:kern w:val="2"/>
      <w:sz w:val="21"/>
      <w:szCs w:val="24"/>
      <w:lang w:val="en-US" w:eastAsia="zh-CN" w:bidi="ar-SA"/>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unhideWhenUsed/>
    <w:qFormat/>
    <w:uiPriority w:val="99"/>
    <w:pPr>
      <w:widowControl w:val="0"/>
      <w:spacing w:before="100" w:beforeAutospacing="1" w:after="100" w:afterAutospacing="1"/>
      <w:ind w:left="0" w:right="0"/>
      <w:jc w:val="left"/>
    </w:pPr>
    <w:rPr>
      <w:rFonts w:ascii="Times New Roman" w:hAnsi="Times New Roman" w:eastAsia="宋体" w:cs="Times New Roman"/>
      <w:kern w:val="0"/>
      <w:sz w:val="24"/>
      <w:lang w:val="en-US" w:eastAsia="zh-CN" w:bidi="ar-SA"/>
    </w:rPr>
  </w:style>
  <w:style w:type="table" w:styleId="8">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customStyle="1" w:styleId="11">
    <w:name w:val="font11"/>
    <w:basedOn w:val="9"/>
    <w:qFormat/>
    <w:uiPriority w:val="0"/>
    <w:rPr>
      <w:rFonts w:hint="eastAsia" w:ascii="仿宋" w:hAnsi="仿宋" w:eastAsia="仿宋" w:cs="仿宋"/>
      <w:b/>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0" Type="http://schemas.openxmlformats.org/officeDocument/2006/relationships/fontTable" Target="fontTable.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footer" Target="foot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header" Target="head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2020-11-06T02:09:00Z</dcterms:created>
  <dc:creator>余洋</dc:creator>
  <cp:lastModifiedBy>余洋</cp:lastModifiedBy>
  <dcterms:modified xsi:type="dcterms:W3CDTF">2020-11-06T02:10:05Z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