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仿宋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snapToGrid w:val="0"/>
          <w:kern w:val="0"/>
          <w:sz w:val="44"/>
          <w:szCs w:val="44"/>
        </w:rPr>
        <w:t>2019年天津市技术经理人培训日程表</w:t>
      </w:r>
    </w:p>
    <w:p>
      <w:pPr>
        <w:spacing w:line="640" w:lineRule="exact"/>
        <w:jc w:val="center"/>
        <w:rPr>
          <w:rFonts w:ascii="方正小标宋简体" w:hAnsi="仿宋" w:eastAsia="方正小标宋简体"/>
          <w:snapToGrid w:val="0"/>
          <w:kern w:val="0"/>
          <w:sz w:val="44"/>
          <w:szCs w:val="44"/>
        </w:rPr>
      </w:pPr>
    </w:p>
    <w:tbl>
      <w:tblPr>
        <w:tblStyle w:val="5"/>
        <w:tblW w:w="14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984"/>
        <w:gridCol w:w="2175"/>
        <w:gridCol w:w="3402"/>
        <w:gridCol w:w="307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5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期次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课程内容</w:t>
            </w:r>
          </w:p>
        </w:tc>
        <w:tc>
          <w:tcPr>
            <w:tcW w:w="307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承办机构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培训地址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4月18日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4月8日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4月15日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17:00 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技术经纪，技术合同，科技法律法规和政策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天津大学技术转移中心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天津大学（卫津路校区）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5月16日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5月6日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知识产权，成果评价，无形资产评估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天津河北工业大学科技园发展有限公司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河北工业大学科技园（北辰区）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第三期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6月13日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金融财税，创业孵化，国际技术经纪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天津明大华中企业孵化器有限公司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中国医学科学院放射医学研究所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（南开区）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第四期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7月11日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7月8日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技术经纪，技术合同，科技法律法规和政策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南开大学科技成果转化中心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南开大学（卫津路校区）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第五期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8月15日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知识产权，成果评价，无形资产评估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清华大学天津高端装备研究院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清华大学天津高端装备研究院（东丽区）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第六期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9月12日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9月9日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金融财税，创业孵化，国际技术经纪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天津海天缘生产力促进中心有限责任公司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中国医学科学院放射医学研究所（南开区）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第七期</w:t>
            </w:r>
          </w:p>
        </w:tc>
        <w:tc>
          <w:tcPr>
            <w:tcW w:w="1984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技术经纪，技术合同，科技法律法规和政策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天津理工大学科学技术合作与转化中心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天津理工大学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（西青区）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第八期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11月14日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知识产权，成果评价，无形资产评估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中科院天津工业生物技术研究所产业合作部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中科院天津工业生物技术研究所(空港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第九期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12月12日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12月9日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金融财税，创业孵化，国际技术经纪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天津工业大学科技成果转化中心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天津工业大学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（西青区）</w:t>
            </w:r>
          </w:p>
        </w:tc>
      </w:tr>
    </w:tbl>
    <w:p>
      <w:pPr>
        <w:spacing w:line="320" w:lineRule="exact"/>
        <w:ind w:firstLine="480" w:firstLineChars="200"/>
        <w:rPr>
          <w:rFonts w:ascii="Times New Roman" w:hAnsi="Times New Roman" w:eastAsia="仿宋_GB2312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snapToGrid w:val="0"/>
          <w:kern w:val="0"/>
          <w:sz w:val="24"/>
          <w:szCs w:val="24"/>
        </w:rPr>
        <w:t>备注：1.第2期、第5期、第8期地点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4"/>
          <w:szCs w:val="24"/>
        </w:rPr>
        <w:t>较远</w:t>
      </w:r>
      <w:r>
        <w:rPr>
          <w:rFonts w:ascii="Times New Roman" w:hAnsi="Times New Roman" w:eastAsia="仿宋_GB2312" w:cs="Times New Roman"/>
          <w:snapToGrid w:val="0"/>
          <w:kern w:val="0"/>
          <w:sz w:val="24"/>
          <w:szCs w:val="24"/>
        </w:rPr>
        <w:t>，统一组织乘车。2.报名成功但无法按时参加培训的学员请至少提前三天告知组织方，无故两次未参加培训的学员取消本年度报名资格。3.报名成功后具体培训地点将以短信形式通知。</w:t>
      </w:r>
    </w:p>
    <w:p/>
    <w:sectPr>
      <w:headerReference r:id="rId3" w:type="default"/>
      <w:pgSz w:w="16838" w:h="11906" w:orient="landscape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3"/>
    <w:rsid w:val="004B0EA4"/>
    <w:rsid w:val="00541AB4"/>
    <w:rsid w:val="00763744"/>
    <w:rsid w:val="007A5882"/>
    <w:rsid w:val="00A92301"/>
    <w:rsid w:val="00F36FBE"/>
    <w:rsid w:val="00F85BF3"/>
    <w:rsid w:val="4D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865</Characters>
  <Lines>7</Lines>
  <Paragraphs>2</Paragraphs>
  <TotalTime>6</TotalTime>
  <ScaleCrop>false</ScaleCrop>
  <LinksUpToDate>false</LinksUpToDate>
  <CharactersWithSpaces>1014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2019-04-04T01:36:00Z</dcterms:created>
  <dc:creator>郄燕</dc:creator>
  <cp:lastModifiedBy>王利～以马内利</cp:lastModifiedBy>
  <dcterms:modified xsi:type="dcterms:W3CDTF">2019-06-11T06:58:35Z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