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8B" w:rsidRDefault="008B348B" w:rsidP="008B348B">
      <w:pPr>
        <w:spacing w:line="640" w:lineRule="exact"/>
        <w:jc w:val="center"/>
        <w:rPr>
          <w:rFonts w:ascii="方正小标宋简体" w:eastAsia="方正小标宋简体" w:hAnsi="宋体"/>
          <w:sz w:val="44"/>
        </w:rPr>
      </w:pPr>
      <w:r>
        <w:rPr>
          <w:rFonts w:ascii="方正小标宋简体" w:eastAsia="方正小标宋简体" w:hAnsi="宋体"/>
          <w:sz w:val="44"/>
        </w:rPr>
        <w:t>天津市促进科技成果转化交易</w:t>
      </w:r>
    </w:p>
    <w:p w:rsidR="008B348B" w:rsidRDefault="008B348B" w:rsidP="008B348B">
      <w:pPr>
        <w:spacing w:line="640" w:lineRule="exact"/>
        <w:jc w:val="center"/>
        <w:rPr>
          <w:rFonts w:ascii="方正小标宋简体" w:eastAsia="方正小标宋简体" w:hAnsi="宋体"/>
          <w:sz w:val="44"/>
        </w:rPr>
      </w:pPr>
      <w:r>
        <w:rPr>
          <w:rFonts w:ascii="方正小标宋简体" w:eastAsia="方正小标宋简体" w:hAnsi="宋体"/>
          <w:sz w:val="44"/>
        </w:rPr>
        <w:t>项目补助资金管理办法</w:t>
      </w:r>
    </w:p>
    <w:p w:rsidR="008B348B" w:rsidRDefault="008B348B" w:rsidP="008B348B">
      <w:pPr>
        <w:spacing w:beforeLines="50" w:before="156" w:afterLines="50" w:after="156" w:line="640" w:lineRule="exact"/>
        <w:jc w:val="center"/>
        <w:rPr>
          <w:rFonts w:ascii="黑体" w:eastAsia="黑体" w:hAnsi="黑体"/>
          <w:sz w:val="32"/>
        </w:rPr>
      </w:pPr>
      <w:r>
        <w:rPr>
          <w:rFonts w:ascii="黑体" w:eastAsia="黑体" w:hAnsi="黑体"/>
          <w:sz w:val="32"/>
        </w:rPr>
        <w:t>第一章 总则</w:t>
      </w:r>
    </w:p>
    <w:p w:rsidR="008B348B" w:rsidRDefault="008B348B" w:rsidP="008B348B">
      <w:pPr>
        <w:pStyle w:val="ListParagraph1"/>
        <w:numPr>
          <w:ilvl w:val="0"/>
          <w:numId w:val="1"/>
        </w:numPr>
        <w:spacing w:line="640" w:lineRule="exact"/>
        <w:ind w:left="0" w:firstLine="640"/>
        <w:rPr>
          <w:rFonts w:ascii="黑体" w:eastAsia="黑体" w:hAnsi="黑体" w:hint="default"/>
          <w:sz w:val="32"/>
        </w:rPr>
      </w:pPr>
      <w:r>
        <w:rPr>
          <w:rFonts w:ascii="仿宋_GB2312" w:eastAsia="仿宋_GB2312" w:hAnsi="Calibri"/>
          <w:sz w:val="32"/>
        </w:rPr>
        <w:t xml:space="preserve"> 为贯彻落实市委、市政府关于科技创新驱动发展的重大部署，激活科技成果交易市场，加速科技成果转化为经济社会发展的现实动力，根据《天津市人民政府办公厅关于转发市财政局拟定的天津市市级财政专项资金管理暂行办法的通知》（津政办</w:t>
      </w:r>
      <w:r>
        <w:rPr>
          <w:rFonts w:eastAsia="仿宋_GB2312"/>
          <w:sz w:val="32"/>
        </w:rPr>
        <w:t>发〔</w:t>
      </w:r>
      <w:r>
        <w:rPr>
          <w:rFonts w:eastAsia="仿宋_GB2312" w:hint="default"/>
          <w:sz w:val="32"/>
        </w:rPr>
        <w:t>2015</w:t>
      </w:r>
      <w:r>
        <w:rPr>
          <w:rFonts w:eastAsia="仿宋_GB2312"/>
          <w:sz w:val="32"/>
        </w:rPr>
        <w:t>〕</w:t>
      </w:r>
      <w:r>
        <w:rPr>
          <w:rFonts w:eastAsia="仿宋_GB2312" w:hint="default"/>
          <w:sz w:val="32"/>
        </w:rPr>
        <w:t>63</w:t>
      </w:r>
      <w:r>
        <w:rPr>
          <w:rFonts w:ascii="仿宋_GB2312" w:eastAsia="仿宋_GB2312" w:hAnsi="Calibri"/>
          <w:sz w:val="32"/>
        </w:rPr>
        <w:t>号）和《天津市促进科技成果转化交易项目管理办法》</w:t>
      </w:r>
      <w:r w:rsidRPr="00D51400">
        <w:rPr>
          <w:rFonts w:eastAsia="仿宋_GB2312"/>
          <w:sz w:val="32"/>
        </w:rPr>
        <w:t>（</w:t>
      </w:r>
      <w:r w:rsidRPr="00D51400">
        <w:rPr>
          <w:rFonts w:ascii="仿宋_GB2312" w:eastAsia="仿宋_GB2312" w:hAnsi="Calibri"/>
          <w:sz w:val="32"/>
        </w:rPr>
        <w:t>津科</w:t>
      </w:r>
      <w:proofErr w:type="gramStart"/>
      <w:r w:rsidRPr="00D51400">
        <w:rPr>
          <w:rFonts w:ascii="仿宋_GB2312" w:eastAsia="仿宋_GB2312" w:hAnsi="Calibri"/>
          <w:sz w:val="32"/>
        </w:rPr>
        <w:t>规</w:t>
      </w:r>
      <w:proofErr w:type="gramEnd"/>
      <w:r w:rsidRPr="00D51400">
        <w:rPr>
          <w:rFonts w:eastAsia="仿宋_GB2312"/>
          <w:sz w:val="32"/>
        </w:rPr>
        <w:t>〔</w:t>
      </w:r>
      <w:r w:rsidRPr="00D51400">
        <w:rPr>
          <w:rFonts w:eastAsia="仿宋_GB2312"/>
          <w:sz w:val="32"/>
        </w:rPr>
        <w:t>2018</w:t>
      </w:r>
      <w:r w:rsidRPr="00D51400">
        <w:rPr>
          <w:rFonts w:eastAsia="仿宋_GB2312"/>
          <w:sz w:val="32"/>
        </w:rPr>
        <w:t>〕</w:t>
      </w:r>
      <w:r w:rsidRPr="00D51400">
        <w:rPr>
          <w:rFonts w:eastAsia="仿宋_GB2312"/>
          <w:sz w:val="32"/>
        </w:rPr>
        <w:t>6</w:t>
      </w:r>
      <w:r w:rsidRPr="00D51400">
        <w:rPr>
          <w:rFonts w:ascii="仿宋_GB2312" w:eastAsia="仿宋_GB2312" w:hAnsi="Calibri"/>
          <w:sz w:val="32"/>
        </w:rPr>
        <w:t>号</w:t>
      </w:r>
      <w:r w:rsidRPr="00D51400">
        <w:rPr>
          <w:rFonts w:eastAsia="仿宋_GB2312"/>
          <w:sz w:val="32"/>
        </w:rPr>
        <w:t>），</w:t>
      </w:r>
      <w:r>
        <w:rPr>
          <w:rFonts w:ascii="仿宋_GB2312" w:eastAsia="仿宋_GB2312" w:hAnsi="Calibri"/>
          <w:sz w:val="32"/>
        </w:rPr>
        <w:t>以及国家和我市有关规定，特设立天津市促进科技成果转化交易项目补助资金（以下简称“补助资金”）。为规范资金使用管理，防控风险，提高效益，制定本办法。</w:t>
      </w:r>
    </w:p>
    <w:p w:rsidR="008B348B" w:rsidRDefault="008B348B" w:rsidP="008B348B">
      <w:pPr>
        <w:pStyle w:val="ListParagraph1"/>
        <w:numPr>
          <w:ilvl w:val="0"/>
          <w:numId w:val="1"/>
        </w:numPr>
        <w:spacing w:line="640" w:lineRule="exact"/>
        <w:ind w:left="0" w:firstLineChars="0" w:firstLine="709"/>
        <w:rPr>
          <w:rFonts w:ascii="仿宋_GB2312" w:eastAsia="仿宋_GB2312" w:hAnsi="Calibri" w:hint="default"/>
          <w:sz w:val="32"/>
        </w:rPr>
      </w:pPr>
      <w:r>
        <w:rPr>
          <w:rFonts w:ascii="仿宋_GB2312" w:eastAsia="仿宋_GB2312" w:hAnsi="Calibri"/>
          <w:sz w:val="32"/>
        </w:rPr>
        <w:t xml:space="preserve"> 促进科技成果转化交易项目（以下简称交易项目）指由线上线下技术转移机构促成，且经技术合同认定登记的技术开发和技术转让项目。</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为鼓励科技成果实现网上平台交易，市财政安排资金对交易项目实施补助。补助资金主要用于支持市科委以科技成果交易量为绩效考核目标，对转化或应用科研机构、高校等单位科技成果的企业，促成交易的技术转移机构及技术经纪人给予补助。</w:t>
      </w:r>
    </w:p>
    <w:p w:rsidR="008B348B" w:rsidRDefault="008B348B" w:rsidP="008B348B">
      <w:pPr>
        <w:pStyle w:val="ListParagraph1"/>
        <w:numPr>
          <w:ilvl w:val="0"/>
          <w:numId w:val="1"/>
        </w:numPr>
        <w:spacing w:line="640" w:lineRule="exact"/>
        <w:ind w:left="0" w:firstLine="640"/>
        <w:rPr>
          <w:rFonts w:eastAsia="仿宋_GB2312" w:hint="default"/>
          <w:sz w:val="32"/>
        </w:rPr>
      </w:pPr>
      <w:r>
        <w:rPr>
          <w:rFonts w:ascii="仿宋_GB2312" w:eastAsia="仿宋_GB2312" w:hAnsi="Calibri"/>
          <w:sz w:val="32"/>
        </w:rPr>
        <w:t xml:space="preserve"> 技术转移机构是为实现和加速技术转移和成果</w:t>
      </w:r>
      <w:r>
        <w:rPr>
          <w:rFonts w:ascii="仿宋_GB2312" w:eastAsia="仿宋_GB2312" w:hAnsi="Calibri"/>
          <w:sz w:val="32"/>
        </w:rPr>
        <w:lastRenderedPageBreak/>
        <w:t>转化提供各类线上线下交易服务的机构。线上技术转移机构专指天津市科技成果展示交易运营中心网上平台，是为确保线下技术转移机构完成交易，提供信息资源、交易规范和交易保障的服务机构。线下技术转移机构是指为交易双方提供技术对接、知识产权、法律咨询等服务，结合线上机构提供的服务，直接促成交易的服务机构。</w:t>
      </w:r>
    </w:p>
    <w:p w:rsidR="008B348B" w:rsidRDefault="008B348B" w:rsidP="008B348B">
      <w:pPr>
        <w:pStyle w:val="ListParagraph1"/>
        <w:spacing w:line="640" w:lineRule="exact"/>
        <w:ind w:firstLineChars="250" w:firstLine="800"/>
        <w:rPr>
          <w:rFonts w:ascii="仿宋_GB2312" w:eastAsia="仿宋_GB2312" w:hAnsi="Calibri" w:hint="default"/>
          <w:sz w:val="32"/>
        </w:rPr>
      </w:pPr>
      <w:r>
        <w:rPr>
          <w:rFonts w:ascii="仿宋_GB2312" w:eastAsia="仿宋_GB2312" w:hAnsi="Calibri"/>
          <w:sz w:val="32"/>
        </w:rPr>
        <w:t>技术转移机构应在市科委进行登记。技术经纪人应为已登记的技术转移机构的在册人员。</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交易项目实施为三年期，第一期为</w:t>
      </w:r>
      <w:smartTag w:uri="urn:schemas-microsoft-com:office:smarttags" w:element="chsdate">
        <w:smartTagPr>
          <w:attr w:name="Year" w:val="2018"/>
          <w:attr w:name="Month" w:val="7"/>
          <w:attr w:name="Day" w:val="1"/>
          <w:attr w:name="IsLunarDate" w:val="False"/>
          <w:attr w:name="IsROCDate" w:val="False"/>
        </w:smartTagPr>
        <w:r>
          <w:rPr>
            <w:rFonts w:eastAsia="仿宋_GB2312" w:hint="default"/>
            <w:sz w:val="32"/>
          </w:rPr>
          <w:t>2018</w:t>
        </w:r>
        <w:r>
          <w:rPr>
            <w:rFonts w:eastAsia="仿宋_GB2312"/>
            <w:sz w:val="32"/>
          </w:rPr>
          <w:t>年</w:t>
        </w:r>
        <w:r>
          <w:rPr>
            <w:rFonts w:eastAsia="仿宋_GB2312" w:hint="default"/>
            <w:sz w:val="32"/>
          </w:rPr>
          <w:t>7</w:t>
        </w:r>
        <w:r>
          <w:rPr>
            <w:rFonts w:eastAsia="仿宋_GB2312"/>
            <w:sz w:val="32"/>
          </w:rPr>
          <w:t>月</w:t>
        </w:r>
        <w:r>
          <w:rPr>
            <w:rFonts w:eastAsia="仿宋_GB2312" w:hint="default"/>
            <w:sz w:val="32"/>
          </w:rPr>
          <w:t>1</w:t>
        </w:r>
        <w:r>
          <w:rPr>
            <w:rFonts w:eastAsia="仿宋_GB2312"/>
            <w:sz w:val="32"/>
          </w:rPr>
          <w:t>日</w:t>
        </w:r>
      </w:smartTag>
      <w:r>
        <w:rPr>
          <w:rFonts w:eastAsia="仿宋_GB2312"/>
          <w:sz w:val="32"/>
        </w:rPr>
        <w:t>至</w:t>
      </w:r>
      <w:smartTag w:uri="urn:schemas-microsoft-com:office:smarttags" w:element="chsdate">
        <w:smartTagPr>
          <w:attr w:name="Year" w:val="2019"/>
          <w:attr w:name="Month" w:val="11"/>
          <w:attr w:name="Day" w:val="30"/>
          <w:attr w:name="IsLunarDate" w:val="False"/>
          <w:attr w:name="IsROCDate" w:val="False"/>
        </w:smartTagPr>
        <w:r>
          <w:rPr>
            <w:rFonts w:eastAsia="仿宋_GB2312" w:hint="default"/>
            <w:sz w:val="32"/>
          </w:rPr>
          <w:t>2019</w:t>
        </w:r>
        <w:r>
          <w:rPr>
            <w:rFonts w:eastAsia="仿宋_GB2312"/>
            <w:sz w:val="32"/>
          </w:rPr>
          <w:t>年</w:t>
        </w:r>
        <w:r>
          <w:rPr>
            <w:rFonts w:eastAsia="仿宋_GB2312" w:hint="default"/>
            <w:sz w:val="32"/>
          </w:rPr>
          <w:t>11</w:t>
        </w:r>
        <w:r>
          <w:rPr>
            <w:rFonts w:eastAsia="仿宋_GB2312"/>
            <w:sz w:val="32"/>
          </w:rPr>
          <w:t>月</w:t>
        </w:r>
        <w:r>
          <w:rPr>
            <w:rFonts w:eastAsia="仿宋_GB2312" w:hint="default"/>
            <w:sz w:val="32"/>
          </w:rPr>
          <w:t>30</w:t>
        </w:r>
        <w:r>
          <w:rPr>
            <w:rFonts w:eastAsia="仿宋_GB2312"/>
            <w:sz w:val="32"/>
          </w:rPr>
          <w:t>日</w:t>
        </w:r>
      </w:smartTag>
      <w:r>
        <w:rPr>
          <w:rFonts w:eastAsia="仿宋_GB2312"/>
          <w:sz w:val="32"/>
        </w:rPr>
        <w:t>，第二期为</w:t>
      </w:r>
      <w:smartTag w:uri="urn:schemas-microsoft-com:office:smarttags" w:element="chsdate">
        <w:smartTagPr>
          <w:attr w:name="Year" w:val="2019"/>
          <w:attr w:name="Month" w:val="12"/>
          <w:attr w:name="Day" w:val="1"/>
          <w:attr w:name="IsLunarDate" w:val="False"/>
          <w:attr w:name="IsROCDate" w:val="False"/>
        </w:smartTagPr>
        <w:r>
          <w:rPr>
            <w:rFonts w:eastAsia="仿宋_GB2312" w:hint="default"/>
            <w:sz w:val="32"/>
          </w:rPr>
          <w:t>2019</w:t>
        </w:r>
        <w:r>
          <w:rPr>
            <w:rFonts w:eastAsia="仿宋_GB2312"/>
            <w:sz w:val="32"/>
          </w:rPr>
          <w:t>年</w:t>
        </w:r>
        <w:r>
          <w:rPr>
            <w:rFonts w:eastAsia="仿宋_GB2312" w:hint="default"/>
            <w:sz w:val="32"/>
          </w:rPr>
          <w:t>12</w:t>
        </w:r>
        <w:r>
          <w:rPr>
            <w:rFonts w:eastAsia="仿宋_GB2312"/>
            <w:sz w:val="32"/>
          </w:rPr>
          <w:t>月</w:t>
        </w:r>
        <w:r>
          <w:rPr>
            <w:rFonts w:eastAsia="仿宋_GB2312" w:hint="default"/>
            <w:sz w:val="32"/>
          </w:rPr>
          <w:t>1</w:t>
        </w:r>
        <w:r>
          <w:rPr>
            <w:rFonts w:eastAsia="仿宋_GB2312"/>
            <w:sz w:val="32"/>
          </w:rPr>
          <w:t>日</w:t>
        </w:r>
      </w:smartTag>
      <w:r>
        <w:rPr>
          <w:rFonts w:eastAsia="仿宋_GB2312"/>
          <w:sz w:val="32"/>
        </w:rPr>
        <w:t>至</w:t>
      </w:r>
      <w:smartTag w:uri="urn:schemas-microsoft-com:office:smarttags" w:element="chsdate">
        <w:smartTagPr>
          <w:attr w:name="Year" w:val="2020"/>
          <w:attr w:name="Month" w:val="11"/>
          <w:attr w:name="Day" w:val="30"/>
          <w:attr w:name="IsLunarDate" w:val="False"/>
          <w:attr w:name="IsROCDate" w:val="False"/>
        </w:smartTagPr>
        <w:r>
          <w:rPr>
            <w:rFonts w:eastAsia="仿宋_GB2312" w:hint="default"/>
            <w:sz w:val="32"/>
          </w:rPr>
          <w:t>2020</w:t>
        </w:r>
        <w:r>
          <w:rPr>
            <w:rFonts w:eastAsia="仿宋_GB2312"/>
            <w:sz w:val="32"/>
          </w:rPr>
          <w:t>年</w:t>
        </w:r>
        <w:r>
          <w:rPr>
            <w:rFonts w:eastAsia="仿宋_GB2312" w:hint="default"/>
            <w:sz w:val="32"/>
          </w:rPr>
          <w:t>11</w:t>
        </w:r>
        <w:r>
          <w:rPr>
            <w:rFonts w:eastAsia="仿宋_GB2312"/>
            <w:sz w:val="32"/>
          </w:rPr>
          <w:t>月</w:t>
        </w:r>
        <w:r>
          <w:rPr>
            <w:rFonts w:eastAsia="仿宋_GB2312" w:hint="default"/>
            <w:sz w:val="32"/>
          </w:rPr>
          <w:t>30</w:t>
        </w:r>
        <w:r>
          <w:rPr>
            <w:rFonts w:eastAsia="仿宋_GB2312"/>
            <w:sz w:val="32"/>
          </w:rPr>
          <w:t>日</w:t>
        </w:r>
      </w:smartTag>
      <w:r>
        <w:rPr>
          <w:rFonts w:eastAsia="仿宋_GB2312"/>
          <w:sz w:val="32"/>
        </w:rPr>
        <w:t>，第三期为</w:t>
      </w:r>
      <w:smartTag w:uri="urn:schemas-microsoft-com:office:smarttags" w:element="chsdate">
        <w:smartTagPr>
          <w:attr w:name="Year" w:val="2020"/>
          <w:attr w:name="Month" w:val="12"/>
          <w:attr w:name="Day" w:val="1"/>
          <w:attr w:name="IsLunarDate" w:val="False"/>
          <w:attr w:name="IsROCDate" w:val="False"/>
        </w:smartTagPr>
        <w:r>
          <w:rPr>
            <w:rFonts w:eastAsia="仿宋_GB2312" w:hint="default"/>
            <w:sz w:val="32"/>
          </w:rPr>
          <w:t>2020</w:t>
        </w:r>
        <w:r>
          <w:rPr>
            <w:rFonts w:eastAsia="仿宋_GB2312"/>
            <w:sz w:val="32"/>
          </w:rPr>
          <w:t>年</w:t>
        </w:r>
        <w:r>
          <w:rPr>
            <w:rFonts w:eastAsia="仿宋_GB2312" w:hint="default"/>
            <w:sz w:val="32"/>
          </w:rPr>
          <w:t>12</w:t>
        </w:r>
        <w:r>
          <w:rPr>
            <w:rFonts w:eastAsia="仿宋_GB2312"/>
            <w:sz w:val="32"/>
          </w:rPr>
          <w:t>月</w:t>
        </w:r>
        <w:r>
          <w:rPr>
            <w:rFonts w:eastAsia="仿宋_GB2312" w:hint="default"/>
            <w:sz w:val="32"/>
          </w:rPr>
          <w:t>1</w:t>
        </w:r>
        <w:r>
          <w:rPr>
            <w:rFonts w:eastAsia="仿宋_GB2312"/>
            <w:sz w:val="32"/>
          </w:rPr>
          <w:t>日</w:t>
        </w:r>
      </w:smartTag>
      <w:r>
        <w:rPr>
          <w:rFonts w:eastAsia="仿宋_GB2312"/>
          <w:sz w:val="32"/>
        </w:rPr>
        <w:t>至</w:t>
      </w:r>
      <w:smartTag w:uri="urn:schemas-microsoft-com:office:smarttags" w:element="chsdate">
        <w:smartTagPr>
          <w:attr w:name="Year" w:val="2021"/>
          <w:attr w:name="Month" w:val="6"/>
          <w:attr w:name="Day" w:val="30"/>
          <w:attr w:name="IsLunarDate" w:val="False"/>
          <w:attr w:name="IsROCDate" w:val="False"/>
        </w:smartTagPr>
        <w:r>
          <w:rPr>
            <w:rFonts w:eastAsia="仿宋_GB2312" w:hint="default"/>
            <w:sz w:val="32"/>
          </w:rPr>
          <w:t>2021</w:t>
        </w:r>
        <w:r>
          <w:rPr>
            <w:rFonts w:eastAsia="仿宋_GB2312"/>
            <w:sz w:val="32"/>
          </w:rPr>
          <w:t>年</w:t>
        </w:r>
        <w:r>
          <w:rPr>
            <w:rFonts w:eastAsia="仿宋_GB2312" w:hint="default"/>
            <w:sz w:val="32"/>
          </w:rPr>
          <w:t>6</w:t>
        </w:r>
        <w:r>
          <w:rPr>
            <w:rFonts w:eastAsia="仿宋_GB2312"/>
            <w:sz w:val="32"/>
          </w:rPr>
          <w:t>月</w:t>
        </w:r>
        <w:r>
          <w:rPr>
            <w:rFonts w:eastAsia="仿宋_GB2312" w:hint="default"/>
            <w:sz w:val="32"/>
          </w:rPr>
          <w:t>30</w:t>
        </w:r>
        <w:r>
          <w:rPr>
            <w:rFonts w:eastAsia="仿宋_GB2312"/>
            <w:sz w:val="32"/>
          </w:rPr>
          <w:t>日</w:t>
        </w:r>
      </w:smartTag>
      <w:r>
        <w:rPr>
          <w:rFonts w:eastAsia="仿宋_GB2312"/>
          <w:sz w:val="32"/>
        </w:rPr>
        <w:t>。</w:t>
      </w:r>
      <w:r>
        <w:rPr>
          <w:rFonts w:ascii="仿宋_GB2312" w:eastAsia="仿宋_GB2312" w:hAnsi="Calibri"/>
          <w:sz w:val="32"/>
        </w:rPr>
        <w:t>补助资金实行总量控制，补助跨四个财政预算年度，</w:t>
      </w:r>
      <w:r>
        <w:rPr>
          <w:rFonts w:eastAsia="仿宋_GB2312"/>
          <w:sz w:val="32"/>
        </w:rPr>
        <w:t>本年度补助资金于当年完成拨付</w:t>
      </w:r>
      <w:r>
        <w:rPr>
          <w:rFonts w:ascii="仿宋_GB2312" w:eastAsia="仿宋_GB2312" w:hAnsi="Calibri"/>
          <w:sz w:val="32"/>
        </w:rPr>
        <w:t>。</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资金分配及管理原则</w:t>
      </w:r>
    </w:p>
    <w:p w:rsidR="008B348B" w:rsidRDefault="008B348B" w:rsidP="008B348B">
      <w:pPr>
        <w:spacing w:line="640" w:lineRule="exact"/>
        <w:ind w:firstLineChars="200" w:firstLine="640"/>
        <w:rPr>
          <w:rFonts w:ascii="仿宋_GB2312" w:eastAsia="仿宋_GB2312" w:hAnsi="Calibri"/>
          <w:sz w:val="32"/>
        </w:rPr>
      </w:pPr>
      <w:r>
        <w:rPr>
          <w:rFonts w:ascii="仿宋_GB2312" w:eastAsia="仿宋_GB2312" w:hAnsi="Calibri"/>
          <w:sz w:val="32"/>
        </w:rPr>
        <w:t>（一）突出绩效。强化科技同经济对接，创新成果同产业对接，创新项目同现实生产力对接。加强事前审核、事中和事后监管，完善信息公开制度，建立面向结果的绩效考核和绩效评价机制，提高资金使用效益。</w:t>
      </w:r>
    </w:p>
    <w:p w:rsidR="008B348B" w:rsidRDefault="008B348B" w:rsidP="008B348B">
      <w:pPr>
        <w:spacing w:line="640" w:lineRule="exact"/>
        <w:ind w:firstLineChars="200" w:firstLine="640"/>
        <w:rPr>
          <w:rFonts w:ascii="仿宋_GB2312" w:eastAsia="仿宋_GB2312" w:hAnsi="Calibri"/>
          <w:sz w:val="32"/>
        </w:rPr>
      </w:pPr>
      <w:r>
        <w:rPr>
          <w:rFonts w:ascii="仿宋_GB2312" w:eastAsia="仿宋_GB2312" w:hAnsi="Calibri"/>
          <w:sz w:val="32"/>
        </w:rPr>
        <w:t>（二）保障重点。统筹考虑我市科技成果转化工作年度目标和技术成果的贡献，聚焦科技成果转化规律和行业特点，重点保障企业、技术转移机构和技术经纪人发展，科学合理</w:t>
      </w:r>
      <w:r>
        <w:rPr>
          <w:rFonts w:ascii="仿宋_GB2312" w:eastAsia="仿宋_GB2312" w:hAnsi="Calibri"/>
          <w:sz w:val="32"/>
        </w:rPr>
        <w:lastRenderedPageBreak/>
        <w:t>安排补助资金。</w:t>
      </w:r>
    </w:p>
    <w:p w:rsidR="008B348B" w:rsidRDefault="008B348B" w:rsidP="008B348B">
      <w:pPr>
        <w:spacing w:line="640" w:lineRule="exact"/>
        <w:ind w:firstLineChars="200" w:firstLine="640"/>
        <w:rPr>
          <w:rFonts w:ascii="仿宋_GB2312" w:eastAsia="仿宋_GB2312" w:hAnsi="Calibri"/>
          <w:sz w:val="32"/>
        </w:rPr>
      </w:pPr>
      <w:r>
        <w:rPr>
          <w:rFonts w:ascii="仿宋_GB2312" w:eastAsia="仿宋_GB2312" w:hAnsi="Calibri"/>
          <w:sz w:val="32"/>
        </w:rPr>
        <w:t>（三）专款专用。发挥财政科技资金的引导作用，规范实施资金后补助机制。补助资金应按照规定用途专款专用，不得用于本办法规定范围以外的项目，不得挤占挪作他用。</w:t>
      </w:r>
    </w:p>
    <w:p w:rsidR="008B348B" w:rsidRDefault="008B348B" w:rsidP="008B348B">
      <w:pPr>
        <w:spacing w:beforeLines="50" w:before="156" w:afterLines="50" w:after="156" w:line="640" w:lineRule="exact"/>
        <w:jc w:val="center"/>
        <w:rPr>
          <w:rFonts w:ascii="黑体" w:eastAsia="黑体" w:hAnsi="黑体"/>
          <w:sz w:val="32"/>
        </w:rPr>
      </w:pPr>
      <w:r>
        <w:rPr>
          <w:rFonts w:ascii="黑体" w:eastAsia="黑体" w:hAnsi="黑体"/>
          <w:sz w:val="32"/>
        </w:rPr>
        <w:t>第二章 职责分工</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市科委是补助资金的主管部门，负责补助资金设立的前期论证、制定项目管理办法和年度申报指南，与市财政局共同制定补助资金管理办法，提出预算安排建议、编制资金安排使用计划，监督补助资金的使用，以及跟踪检查、绩效自评和信息公开等。</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市财政局负责补助资金设立、调整和撤销的初步审核，会同市科委制定补助资金管理办法，组织预算编制，办理资金拨付，实施监督检查和重点绩效评价，以及到期或撤销补助资金的清算等。</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项目申报单位的上级主管部门或注册地所在区科技部门对项目申报材料进行初审和监督，并配合市科委、市财政局开展资金使用绩效评价。</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 xml:space="preserve"> 项目申报单位要落实主体责任，确保报送材料真实有效。按照国家及我市有关政策规定，规范资金使用，发挥资金效益，配合开展绩效评价工作。</w:t>
      </w:r>
    </w:p>
    <w:p w:rsidR="008B348B" w:rsidRDefault="008B348B" w:rsidP="008B348B">
      <w:pPr>
        <w:spacing w:beforeLines="50" w:before="156" w:afterLines="50" w:after="156" w:line="640" w:lineRule="exact"/>
        <w:jc w:val="center"/>
        <w:rPr>
          <w:rFonts w:ascii="黑体" w:eastAsia="黑体" w:hAnsi="黑体"/>
          <w:sz w:val="32"/>
        </w:rPr>
      </w:pPr>
      <w:r>
        <w:rPr>
          <w:rFonts w:ascii="黑体" w:eastAsia="黑体" w:hAnsi="黑体"/>
          <w:sz w:val="32"/>
        </w:rPr>
        <w:t>第三章 补贴方式、支持范围及标准</w:t>
      </w:r>
    </w:p>
    <w:p w:rsidR="008B348B" w:rsidRDefault="008B348B" w:rsidP="008B348B">
      <w:pPr>
        <w:pStyle w:val="ListParagraph1"/>
        <w:numPr>
          <w:ilvl w:val="0"/>
          <w:numId w:val="1"/>
        </w:numPr>
        <w:spacing w:line="640" w:lineRule="exact"/>
        <w:ind w:left="0" w:firstLine="640"/>
        <w:rPr>
          <w:rFonts w:ascii="黑体" w:eastAsia="黑体" w:hAnsi="黑体" w:hint="default"/>
          <w:b/>
          <w:sz w:val="32"/>
        </w:rPr>
      </w:pPr>
      <w:r>
        <w:rPr>
          <w:rFonts w:ascii="仿宋_GB2312" w:eastAsia="仿宋_GB2312" w:hAnsi="Calibri"/>
          <w:sz w:val="32"/>
        </w:rPr>
        <w:lastRenderedPageBreak/>
        <w:t>补助资金采用后补助支持方式。参与科技成果交易的单位先行投入资金，完成科技成果交易绩效、通过审验后，根据标准据实核定补助资金，按照拨款计划核拨补助资金。</w:t>
      </w:r>
    </w:p>
    <w:p w:rsidR="008B348B" w:rsidRDefault="008B348B" w:rsidP="008B348B">
      <w:pPr>
        <w:pStyle w:val="ListParagraph1"/>
        <w:numPr>
          <w:ilvl w:val="0"/>
          <w:numId w:val="1"/>
        </w:numPr>
        <w:spacing w:line="640" w:lineRule="exact"/>
        <w:ind w:left="0" w:firstLine="640"/>
        <w:rPr>
          <w:rFonts w:ascii="黑体" w:eastAsia="黑体" w:hAnsi="黑体" w:hint="default"/>
          <w:b/>
          <w:sz w:val="32"/>
        </w:rPr>
      </w:pPr>
      <w:r>
        <w:rPr>
          <w:rFonts w:ascii="仿宋_GB2312" w:eastAsia="仿宋_GB2312" w:hAnsi="Calibri"/>
          <w:sz w:val="32"/>
        </w:rPr>
        <w:t>支持范围及补助标准:</w:t>
      </w:r>
    </w:p>
    <w:p w:rsidR="008B348B" w:rsidRDefault="008B348B" w:rsidP="008B348B">
      <w:pPr>
        <w:pStyle w:val="ListParagraph1"/>
        <w:spacing w:line="640" w:lineRule="exact"/>
        <w:ind w:firstLineChars="0" w:firstLine="0"/>
        <w:rPr>
          <w:rFonts w:ascii="黑体" w:eastAsia="黑体" w:hAnsi="黑体" w:hint="default"/>
          <w:b/>
          <w:sz w:val="32"/>
        </w:rPr>
      </w:pPr>
      <w:r>
        <w:rPr>
          <w:rFonts w:ascii="仿宋_GB2312" w:eastAsia="仿宋_GB2312" w:hAnsi="Calibri"/>
          <w:sz w:val="32"/>
        </w:rPr>
        <w:t xml:space="preserve">    （一）企业补贴</w:t>
      </w:r>
    </w:p>
    <w:p w:rsidR="008B348B" w:rsidRDefault="008B348B" w:rsidP="008B348B">
      <w:pPr>
        <w:pStyle w:val="ListParagraph1"/>
        <w:spacing w:line="640" w:lineRule="exact"/>
        <w:ind w:firstLineChars="0" w:firstLine="645"/>
        <w:rPr>
          <w:rFonts w:eastAsia="仿宋_GB2312" w:hint="default"/>
          <w:sz w:val="32"/>
        </w:rPr>
      </w:pPr>
      <w:r>
        <w:rPr>
          <w:rFonts w:ascii="仿宋_GB2312" w:eastAsia="仿宋_GB2312" w:hAnsi="Calibri"/>
          <w:sz w:val="32"/>
        </w:rPr>
        <w:t>我市企业为委托方或受让方,与国内非营利性科研机构和高校进行的、</w:t>
      </w:r>
      <w:r>
        <w:rPr>
          <w:rFonts w:eastAsia="仿宋_GB2312"/>
          <w:sz w:val="32"/>
        </w:rPr>
        <w:t>单项交易额在</w:t>
      </w:r>
      <w:r>
        <w:rPr>
          <w:rFonts w:eastAsia="仿宋_GB2312" w:hint="default"/>
          <w:sz w:val="32"/>
        </w:rPr>
        <w:t>10</w:t>
      </w:r>
      <w:r>
        <w:rPr>
          <w:rFonts w:eastAsia="仿宋_GB2312"/>
          <w:sz w:val="32"/>
        </w:rPr>
        <w:t>万元以上的</w:t>
      </w:r>
      <w:r>
        <w:rPr>
          <w:rFonts w:ascii="仿宋_GB2312" w:eastAsia="仿宋_GB2312" w:hAnsi="Calibri"/>
          <w:sz w:val="32"/>
        </w:rPr>
        <w:t>技术开发、技术转让交易，</w:t>
      </w:r>
      <w:r>
        <w:rPr>
          <w:rFonts w:eastAsia="仿宋_GB2312"/>
          <w:sz w:val="32"/>
        </w:rPr>
        <w:t>三个交易周期分别按照不超过当期实际技术交易额</w:t>
      </w:r>
      <w:r>
        <w:rPr>
          <w:rFonts w:eastAsia="仿宋_GB2312" w:hint="default"/>
          <w:sz w:val="32"/>
        </w:rPr>
        <w:t>5%</w:t>
      </w:r>
      <w:r>
        <w:rPr>
          <w:rFonts w:eastAsia="仿宋_GB2312"/>
          <w:sz w:val="32"/>
        </w:rPr>
        <w:t>、</w:t>
      </w:r>
      <w:r>
        <w:rPr>
          <w:rFonts w:eastAsia="仿宋_GB2312" w:hint="default"/>
          <w:sz w:val="32"/>
        </w:rPr>
        <w:t>4%</w:t>
      </w:r>
      <w:r>
        <w:rPr>
          <w:rFonts w:eastAsia="仿宋_GB2312"/>
          <w:sz w:val="32"/>
        </w:rPr>
        <w:t>、</w:t>
      </w:r>
      <w:r>
        <w:rPr>
          <w:rFonts w:eastAsia="仿宋_GB2312" w:hint="default"/>
          <w:sz w:val="32"/>
        </w:rPr>
        <w:t>3%</w:t>
      </w:r>
      <w:r>
        <w:rPr>
          <w:rFonts w:eastAsia="仿宋_GB2312"/>
          <w:sz w:val="32"/>
        </w:rPr>
        <w:t>的标准退坡</w:t>
      </w:r>
      <w:r>
        <w:rPr>
          <w:rFonts w:ascii="仿宋_GB2312" w:eastAsia="仿宋_GB2312" w:hAnsi="Calibri"/>
          <w:sz w:val="32"/>
        </w:rPr>
        <w:t>补助</w:t>
      </w:r>
      <w:r>
        <w:rPr>
          <w:rFonts w:eastAsia="仿宋_GB2312"/>
          <w:sz w:val="32"/>
        </w:rPr>
        <w:t>。单个企业每年</w:t>
      </w:r>
      <w:r>
        <w:rPr>
          <w:rFonts w:ascii="仿宋_GB2312" w:eastAsia="仿宋_GB2312" w:hAnsi="Calibri"/>
          <w:sz w:val="32"/>
        </w:rPr>
        <w:t>补助</w:t>
      </w:r>
      <w:r>
        <w:rPr>
          <w:rFonts w:eastAsia="仿宋_GB2312"/>
          <w:sz w:val="32"/>
        </w:rPr>
        <w:t>金额不超过</w:t>
      </w:r>
      <w:r>
        <w:rPr>
          <w:rFonts w:eastAsia="仿宋_GB2312" w:hint="default"/>
          <w:sz w:val="32"/>
        </w:rPr>
        <w:t>100</w:t>
      </w:r>
      <w:r>
        <w:rPr>
          <w:rFonts w:eastAsia="仿宋_GB2312"/>
          <w:sz w:val="32"/>
        </w:rPr>
        <w:t>万元。经核定拨付的</w:t>
      </w:r>
      <w:r>
        <w:rPr>
          <w:rFonts w:ascii="仿宋_GB2312" w:eastAsia="仿宋_GB2312" w:hAnsi="Calibri"/>
          <w:sz w:val="32"/>
        </w:rPr>
        <w:t>补助</w:t>
      </w:r>
      <w:r>
        <w:rPr>
          <w:rFonts w:eastAsia="仿宋_GB2312"/>
          <w:sz w:val="32"/>
        </w:rPr>
        <w:t>资金，由单位统筹安排使用。</w:t>
      </w:r>
    </w:p>
    <w:p w:rsidR="008B348B" w:rsidRDefault="008B348B" w:rsidP="008B348B">
      <w:pPr>
        <w:pStyle w:val="ListParagraph1"/>
        <w:spacing w:line="640" w:lineRule="exact"/>
        <w:ind w:firstLineChars="0" w:firstLine="640"/>
        <w:rPr>
          <w:rFonts w:ascii="仿宋_GB2312" w:eastAsia="仿宋_GB2312" w:hAnsi="Calibri" w:hint="default"/>
          <w:sz w:val="32"/>
        </w:rPr>
      </w:pPr>
      <w:r>
        <w:rPr>
          <w:rFonts w:ascii="仿宋_GB2312" w:eastAsia="仿宋_GB2312" w:hAnsi="Calibri"/>
          <w:sz w:val="32"/>
        </w:rPr>
        <w:t>（二）技术转移机构补贴</w:t>
      </w:r>
    </w:p>
    <w:p w:rsidR="008B348B" w:rsidRDefault="008B348B" w:rsidP="008B348B">
      <w:pPr>
        <w:pStyle w:val="ListParagraph1"/>
        <w:numPr>
          <w:ilvl w:val="0"/>
          <w:numId w:val="2"/>
        </w:numPr>
        <w:spacing w:line="640" w:lineRule="exact"/>
        <w:ind w:firstLine="640"/>
        <w:rPr>
          <w:rFonts w:eastAsia="仿宋_GB2312" w:hint="default"/>
          <w:sz w:val="32"/>
        </w:rPr>
      </w:pPr>
      <w:r>
        <w:rPr>
          <w:rFonts w:eastAsia="仿宋_GB2312"/>
          <w:sz w:val="32"/>
        </w:rPr>
        <w:t>线下技术转移机构</w:t>
      </w:r>
    </w:p>
    <w:p w:rsidR="008B348B" w:rsidRDefault="008B348B" w:rsidP="008B348B">
      <w:pPr>
        <w:pStyle w:val="ListParagraph1"/>
        <w:spacing w:line="640" w:lineRule="exact"/>
        <w:ind w:firstLine="640"/>
        <w:rPr>
          <w:rFonts w:eastAsia="仿宋_GB2312" w:hint="default"/>
          <w:sz w:val="32"/>
        </w:rPr>
      </w:pPr>
      <w:r w:rsidRPr="00D51400">
        <w:rPr>
          <w:rFonts w:ascii="仿宋_GB2312" w:eastAsia="仿宋_GB2312" w:hAnsi="楷体"/>
          <w:sz w:val="32"/>
        </w:rPr>
        <w:t>技术受让交易。</w:t>
      </w:r>
      <w:r>
        <w:rPr>
          <w:rFonts w:eastAsia="仿宋_GB2312"/>
          <w:sz w:val="32"/>
        </w:rPr>
        <w:t>对促成我市企业为委托方或受让方，与国内非营利性科研机构和高校完成的技术开发、技术转让交易的机构，三个交易周期分别按照不超过当期实际技术交易额</w:t>
      </w:r>
      <w:r>
        <w:rPr>
          <w:rFonts w:eastAsia="仿宋_GB2312" w:hint="default"/>
          <w:sz w:val="32"/>
        </w:rPr>
        <w:t>2%</w:t>
      </w:r>
      <w:r>
        <w:rPr>
          <w:rFonts w:eastAsia="仿宋_GB2312"/>
          <w:sz w:val="32"/>
        </w:rPr>
        <w:t>、</w:t>
      </w:r>
      <w:r>
        <w:rPr>
          <w:rFonts w:eastAsia="仿宋_GB2312" w:hint="default"/>
          <w:sz w:val="32"/>
        </w:rPr>
        <w:t>1.5%</w:t>
      </w:r>
      <w:r>
        <w:rPr>
          <w:rFonts w:eastAsia="仿宋_GB2312"/>
          <w:sz w:val="32"/>
        </w:rPr>
        <w:t>、</w:t>
      </w:r>
      <w:r>
        <w:rPr>
          <w:rFonts w:eastAsia="仿宋_GB2312" w:hint="default"/>
          <w:sz w:val="32"/>
        </w:rPr>
        <w:t>1%</w:t>
      </w:r>
      <w:r>
        <w:rPr>
          <w:rFonts w:eastAsia="仿宋_GB2312"/>
          <w:sz w:val="32"/>
        </w:rPr>
        <w:t>的标准退坡</w:t>
      </w:r>
      <w:r>
        <w:rPr>
          <w:rFonts w:ascii="仿宋_GB2312" w:eastAsia="仿宋_GB2312" w:hAnsi="Calibri"/>
          <w:sz w:val="32"/>
        </w:rPr>
        <w:t>补助</w:t>
      </w:r>
      <w:r>
        <w:rPr>
          <w:rFonts w:eastAsia="仿宋_GB2312"/>
          <w:sz w:val="32"/>
        </w:rPr>
        <w:t>。单项交易</w:t>
      </w:r>
      <w:r>
        <w:rPr>
          <w:rFonts w:ascii="仿宋_GB2312" w:eastAsia="仿宋_GB2312" w:hAnsi="Calibri"/>
          <w:sz w:val="32"/>
        </w:rPr>
        <w:t>补助</w:t>
      </w:r>
      <w:r>
        <w:rPr>
          <w:rFonts w:eastAsia="仿宋_GB2312"/>
          <w:sz w:val="32"/>
        </w:rPr>
        <w:t>金额不超过</w:t>
      </w:r>
      <w:r>
        <w:rPr>
          <w:rFonts w:eastAsia="仿宋_GB2312" w:hint="default"/>
          <w:sz w:val="32"/>
        </w:rPr>
        <w:t>20</w:t>
      </w:r>
      <w:r>
        <w:rPr>
          <w:rFonts w:eastAsia="仿宋_GB2312"/>
          <w:sz w:val="32"/>
        </w:rPr>
        <w:t>万元。</w:t>
      </w:r>
    </w:p>
    <w:p w:rsidR="008B348B" w:rsidRDefault="008B348B" w:rsidP="008B348B">
      <w:pPr>
        <w:pStyle w:val="ListParagraph1"/>
        <w:spacing w:line="640" w:lineRule="exact"/>
        <w:ind w:firstLineChars="0" w:firstLine="640"/>
        <w:rPr>
          <w:rFonts w:eastAsia="仿宋_GB2312" w:hint="default"/>
          <w:sz w:val="32"/>
        </w:rPr>
      </w:pPr>
      <w:r w:rsidRPr="00D51400">
        <w:rPr>
          <w:rFonts w:ascii="仿宋_GB2312" w:eastAsia="仿宋_GB2312" w:hAnsi="楷体"/>
          <w:sz w:val="32"/>
        </w:rPr>
        <w:t>技术出让交易。</w:t>
      </w:r>
      <w:r>
        <w:rPr>
          <w:rFonts w:eastAsia="仿宋_GB2312"/>
          <w:sz w:val="32"/>
        </w:rPr>
        <w:t>对促成我市法人单位为出让方的技术转让交易的机构，三个交易周期分别按照不超过当期实际技术</w:t>
      </w:r>
      <w:r>
        <w:rPr>
          <w:rFonts w:eastAsia="仿宋_GB2312"/>
          <w:sz w:val="32"/>
        </w:rPr>
        <w:lastRenderedPageBreak/>
        <w:t>交易额</w:t>
      </w:r>
      <w:r>
        <w:rPr>
          <w:rFonts w:eastAsia="仿宋_GB2312" w:hint="default"/>
          <w:sz w:val="32"/>
        </w:rPr>
        <w:t>1%</w:t>
      </w:r>
      <w:r>
        <w:rPr>
          <w:rFonts w:eastAsia="仿宋_GB2312"/>
          <w:sz w:val="32"/>
        </w:rPr>
        <w:t>、</w:t>
      </w:r>
      <w:r>
        <w:rPr>
          <w:rFonts w:eastAsia="仿宋_GB2312" w:hint="default"/>
          <w:sz w:val="32"/>
        </w:rPr>
        <w:t>0.8%</w:t>
      </w:r>
      <w:r>
        <w:rPr>
          <w:rFonts w:eastAsia="仿宋_GB2312"/>
          <w:sz w:val="32"/>
        </w:rPr>
        <w:t>、</w:t>
      </w:r>
      <w:r>
        <w:rPr>
          <w:rFonts w:eastAsia="仿宋_GB2312" w:hint="default"/>
          <w:sz w:val="32"/>
        </w:rPr>
        <w:t>0.5%</w:t>
      </w:r>
      <w:r>
        <w:rPr>
          <w:rFonts w:eastAsia="仿宋_GB2312"/>
          <w:sz w:val="32"/>
        </w:rPr>
        <w:t>的标准退坡</w:t>
      </w:r>
      <w:r>
        <w:rPr>
          <w:rFonts w:ascii="仿宋_GB2312" w:eastAsia="仿宋_GB2312" w:hAnsi="Calibri"/>
          <w:sz w:val="32"/>
        </w:rPr>
        <w:t>补助</w:t>
      </w:r>
      <w:r>
        <w:rPr>
          <w:rFonts w:eastAsia="仿宋_GB2312"/>
          <w:sz w:val="32"/>
        </w:rPr>
        <w:t>。单项交易</w:t>
      </w:r>
      <w:r>
        <w:rPr>
          <w:rFonts w:ascii="仿宋_GB2312" w:eastAsia="仿宋_GB2312" w:hAnsi="Calibri"/>
          <w:sz w:val="32"/>
        </w:rPr>
        <w:t>补助</w:t>
      </w:r>
      <w:r>
        <w:rPr>
          <w:rFonts w:eastAsia="仿宋_GB2312"/>
          <w:sz w:val="32"/>
        </w:rPr>
        <w:t>金额不超过</w:t>
      </w:r>
      <w:r>
        <w:rPr>
          <w:rFonts w:eastAsia="仿宋_GB2312" w:hint="default"/>
          <w:sz w:val="32"/>
        </w:rPr>
        <w:t>10</w:t>
      </w:r>
      <w:r>
        <w:rPr>
          <w:rFonts w:eastAsia="仿宋_GB2312"/>
          <w:sz w:val="32"/>
        </w:rPr>
        <w:t>万元。</w:t>
      </w:r>
    </w:p>
    <w:p w:rsidR="008B348B" w:rsidRDefault="008B348B" w:rsidP="008B348B">
      <w:pPr>
        <w:pStyle w:val="ListParagraph1"/>
        <w:spacing w:line="640" w:lineRule="exact"/>
        <w:ind w:firstLineChars="0" w:firstLine="640"/>
        <w:rPr>
          <w:rFonts w:eastAsia="仿宋_GB2312" w:hint="default"/>
          <w:sz w:val="32"/>
        </w:rPr>
      </w:pPr>
      <w:r>
        <w:rPr>
          <w:rFonts w:eastAsia="仿宋_GB2312"/>
          <w:sz w:val="32"/>
        </w:rPr>
        <w:t>同一交易的受让、出让补助不可兼得。单个</w:t>
      </w:r>
      <w:r>
        <w:rPr>
          <w:rFonts w:ascii="仿宋_GB2312" w:eastAsia="仿宋_GB2312" w:hAnsi="Calibri"/>
          <w:sz w:val="32"/>
        </w:rPr>
        <w:t>机构</w:t>
      </w:r>
      <w:r>
        <w:rPr>
          <w:rFonts w:eastAsia="仿宋_GB2312"/>
          <w:sz w:val="32"/>
        </w:rPr>
        <w:t>每年</w:t>
      </w:r>
      <w:r>
        <w:rPr>
          <w:rFonts w:ascii="仿宋_GB2312" w:eastAsia="仿宋_GB2312" w:hAnsi="Calibri"/>
          <w:sz w:val="32"/>
        </w:rPr>
        <w:t>补助</w:t>
      </w:r>
      <w:r>
        <w:rPr>
          <w:rFonts w:eastAsia="仿宋_GB2312"/>
          <w:sz w:val="32"/>
        </w:rPr>
        <w:t>金额不超过</w:t>
      </w:r>
      <w:r>
        <w:rPr>
          <w:rFonts w:eastAsia="仿宋_GB2312" w:hint="default"/>
          <w:sz w:val="32"/>
        </w:rPr>
        <w:t>100</w:t>
      </w:r>
      <w:r>
        <w:rPr>
          <w:rFonts w:eastAsia="仿宋_GB2312"/>
          <w:sz w:val="32"/>
        </w:rPr>
        <w:t>万元。</w:t>
      </w:r>
    </w:p>
    <w:p w:rsidR="008B348B" w:rsidRDefault="008B348B" w:rsidP="008B348B">
      <w:pPr>
        <w:pStyle w:val="ListParagraph1"/>
        <w:numPr>
          <w:ilvl w:val="0"/>
          <w:numId w:val="2"/>
        </w:numPr>
        <w:spacing w:line="640" w:lineRule="exact"/>
        <w:ind w:firstLine="640"/>
        <w:rPr>
          <w:rFonts w:eastAsia="仿宋_GB2312" w:hint="default"/>
          <w:sz w:val="32"/>
        </w:rPr>
      </w:pPr>
      <w:r>
        <w:rPr>
          <w:rFonts w:eastAsia="仿宋_GB2312"/>
          <w:sz w:val="32"/>
        </w:rPr>
        <w:t>线上技术转移机构</w:t>
      </w:r>
    </w:p>
    <w:p w:rsidR="008B348B" w:rsidRDefault="008B348B" w:rsidP="008B348B">
      <w:pPr>
        <w:pStyle w:val="ListParagraph1"/>
        <w:spacing w:line="640" w:lineRule="exact"/>
        <w:ind w:firstLine="640"/>
        <w:rPr>
          <w:rFonts w:eastAsia="仿宋_GB2312" w:hint="default"/>
          <w:sz w:val="32"/>
        </w:rPr>
      </w:pPr>
      <w:r>
        <w:rPr>
          <w:rFonts w:eastAsia="仿宋_GB2312"/>
          <w:sz w:val="32"/>
        </w:rPr>
        <w:t>三个交易周期分别按照不超过当期实际技术交易额</w:t>
      </w:r>
      <w:r>
        <w:rPr>
          <w:rFonts w:eastAsia="仿宋_GB2312" w:hint="default"/>
          <w:sz w:val="32"/>
        </w:rPr>
        <w:t>0.5%</w:t>
      </w:r>
      <w:r>
        <w:rPr>
          <w:rFonts w:eastAsia="仿宋_GB2312"/>
          <w:sz w:val="32"/>
        </w:rPr>
        <w:t>、</w:t>
      </w:r>
      <w:r>
        <w:rPr>
          <w:rFonts w:eastAsia="仿宋_GB2312" w:hint="default"/>
          <w:sz w:val="32"/>
        </w:rPr>
        <w:t>0.4%</w:t>
      </w:r>
      <w:r>
        <w:rPr>
          <w:rFonts w:eastAsia="仿宋_GB2312"/>
          <w:sz w:val="32"/>
        </w:rPr>
        <w:t>、</w:t>
      </w:r>
      <w:r>
        <w:rPr>
          <w:rFonts w:eastAsia="仿宋_GB2312" w:hint="default"/>
          <w:sz w:val="32"/>
        </w:rPr>
        <w:t>0.3%</w:t>
      </w:r>
      <w:r>
        <w:rPr>
          <w:rFonts w:eastAsia="仿宋_GB2312"/>
          <w:sz w:val="32"/>
        </w:rPr>
        <w:t>的标准进行</w:t>
      </w:r>
      <w:r>
        <w:rPr>
          <w:rFonts w:ascii="仿宋_GB2312" w:eastAsia="仿宋_GB2312" w:hAnsi="Calibri"/>
          <w:sz w:val="32"/>
        </w:rPr>
        <w:t>补助</w:t>
      </w:r>
      <w:r>
        <w:rPr>
          <w:rFonts w:eastAsia="仿宋_GB2312"/>
          <w:sz w:val="32"/>
        </w:rPr>
        <w:t>。单项交易</w:t>
      </w:r>
      <w:r>
        <w:rPr>
          <w:rFonts w:ascii="仿宋_GB2312" w:eastAsia="仿宋_GB2312" w:hAnsi="Calibri"/>
          <w:sz w:val="32"/>
        </w:rPr>
        <w:t>补助</w:t>
      </w:r>
      <w:r>
        <w:rPr>
          <w:rFonts w:eastAsia="仿宋_GB2312"/>
          <w:sz w:val="32"/>
        </w:rPr>
        <w:t>金额不超过</w:t>
      </w:r>
      <w:r>
        <w:rPr>
          <w:rFonts w:eastAsia="仿宋_GB2312" w:hint="default"/>
          <w:sz w:val="32"/>
        </w:rPr>
        <w:t>5</w:t>
      </w:r>
      <w:r>
        <w:rPr>
          <w:rFonts w:eastAsia="仿宋_GB2312"/>
          <w:sz w:val="32"/>
        </w:rPr>
        <w:t>万元，每年上述</w:t>
      </w:r>
      <w:r>
        <w:rPr>
          <w:rFonts w:ascii="仿宋_GB2312" w:eastAsia="仿宋_GB2312" w:hAnsi="Calibri"/>
          <w:sz w:val="32"/>
        </w:rPr>
        <w:t>补助</w:t>
      </w:r>
      <w:r>
        <w:rPr>
          <w:rFonts w:eastAsia="仿宋_GB2312"/>
          <w:sz w:val="32"/>
        </w:rPr>
        <w:t>金额不超过</w:t>
      </w:r>
      <w:r>
        <w:rPr>
          <w:rFonts w:eastAsia="仿宋_GB2312" w:hint="default"/>
          <w:sz w:val="32"/>
        </w:rPr>
        <w:t>300</w:t>
      </w:r>
      <w:r>
        <w:rPr>
          <w:rFonts w:eastAsia="仿宋_GB2312"/>
          <w:sz w:val="32"/>
        </w:rPr>
        <w:t>万元。</w:t>
      </w:r>
    </w:p>
    <w:p w:rsidR="008B348B" w:rsidRDefault="008B348B" w:rsidP="008B348B">
      <w:pPr>
        <w:pStyle w:val="ListParagraph1"/>
        <w:spacing w:line="640" w:lineRule="exact"/>
        <w:ind w:firstLineChars="0" w:firstLine="645"/>
        <w:rPr>
          <w:rFonts w:eastAsia="仿宋_GB2312" w:hint="default"/>
          <w:sz w:val="32"/>
        </w:rPr>
      </w:pPr>
      <w:r>
        <w:rPr>
          <w:rFonts w:eastAsia="仿宋_GB2312"/>
          <w:sz w:val="32"/>
        </w:rPr>
        <w:t>上述经核定拨付的</w:t>
      </w:r>
      <w:r>
        <w:rPr>
          <w:rFonts w:ascii="仿宋_GB2312" w:eastAsia="仿宋_GB2312" w:hAnsi="Calibri"/>
          <w:sz w:val="32"/>
        </w:rPr>
        <w:t>补助</w:t>
      </w:r>
      <w:r>
        <w:rPr>
          <w:rFonts w:eastAsia="仿宋_GB2312"/>
          <w:sz w:val="32"/>
        </w:rPr>
        <w:t>资金，由单位统筹安排使用。</w:t>
      </w:r>
    </w:p>
    <w:p w:rsidR="008B348B" w:rsidRDefault="008B348B" w:rsidP="008B348B">
      <w:pPr>
        <w:pStyle w:val="ListParagraph1"/>
        <w:spacing w:line="640" w:lineRule="exact"/>
        <w:ind w:leftChars="200" w:left="480" w:firstLineChars="0" w:firstLine="0"/>
        <w:rPr>
          <w:rFonts w:ascii="黑体" w:eastAsia="黑体" w:hAnsi="黑体" w:hint="default"/>
          <w:sz w:val="32"/>
        </w:rPr>
      </w:pPr>
      <w:r>
        <w:rPr>
          <w:rFonts w:eastAsia="仿宋_GB2312"/>
          <w:sz w:val="32"/>
        </w:rPr>
        <w:t>（三）技术经纪人补贴</w:t>
      </w:r>
    </w:p>
    <w:p w:rsidR="008B348B" w:rsidRDefault="008B348B" w:rsidP="008B348B">
      <w:pPr>
        <w:pStyle w:val="ListParagraph1"/>
        <w:spacing w:line="640" w:lineRule="exact"/>
        <w:ind w:firstLineChars="0" w:firstLine="645"/>
        <w:rPr>
          <w:rFonts w:eastAsia="仿宋_GB2312" w:hint="default"/>
          <w:sz w:val="32"/>
        </w:rPr>
      </w:pPr>
      <w:r>
        <w:rPr>
          <w:rFonts w:eastAsia="仿宋_GB2312"/>
          <w:sz w:val="32"/>
        </w:rPr>
        <w:t>技术转移机构应将不低于</w:t>
      </w:r>
      <w:r>
        <w:rPr>
          <w:rFonts w:eastAsia="仿宋_GB2312" w:hint="default"/>
          <w:sz w:val="32"/>
        </w:rPr>
        <w:t>30%</w:t>
      </w:r>
      <w:r>
        <w:rPr>
          <w:rFonts w:eastAsia="仿宋_GB2312"/>
          <w:sz w:val="32"/>
        </w:rPr>
        <w:t>的</w:t>
      </w:r>
      <w:r>
        <w:rPr>
          <w:rFonts w:ascii="仿宋_GB2312" w:eastAsia="仿宋_GB2312" w:hAnsi="Calibri"/>
          <w:sz w:val="32"/>
        </w:rPr>
        <w:t>补助</w:t>
      </w:r>
      <w:r>
        <w:rPr>
          <w:rFonts w:eastAsia="仿宋_GB2312"/>
          <w:sz w:val="32"/>
        </w:rPr>
        <w:t>资金用于奖励对促成成果交易做出实际贡献的技术经纪人，由技术转移机构根据技术经纪人实际贡献进行分配。技术经纪人分配所得奖金不纳入技术转移机构日常薪金体系，单独奖励发放。</w:t>
      </w:r>
    </w:p>
    <w:p w:rsidR="008B348B" w:rsidRDefault="008B348B" w:rsidP="008B348B">
      <w:pPr>
        <w:pStyle w:val="ListParagraph1"/>
        <w:numPr>
          <w:ilvl w:val="0"/>
          <w:numId w:val="1"/>
        </w:numPr>
        <w:spacing w:line="640" w:lineRule="exact"/>
        <w:ind w:left="0" w:firstLine="640"/>
        <w:rPr>
          <w:rFonts w:ascii="黑体" w:eastAsia="黑体" w:hAnsi="黑体" w:hint="default"/>
          <w:sz w:val="32"/>
        </w:rPr>
      </w:pPr>
      <w:r>
        <w:rPr>
          <w:rFonts w:ascii="仿宋_GB2312" w:eastAsia="仿宋_GB2312" w:hAnsi="Calibri"/>
          <w:sz w:val="32"/>
        </w:rPr>
        <w:t>以下情形不属于补助资金支持范围：</w:t>
      </w:r>
    </w:p>
    <w:p w:rsidR="008B348B" w:rsidRDefault="008B348B" w:rsidP="008B348B">
      <w:pPr>
        <w:pStyle w:val="ListParagraph1"/>
        <w:spacing w:line="640" w:lineRule="exact"/>
        <w:ind w:firstLine="640"/>
        <w:rPr>
          <w:rFonts w:ascii="仿宋_GB2312" w:eastAsia="仿宋_GB2312" w:hAnsi="Calibri" w:hint="default"/>
          <w:sz w:val="32"/>
        </w:rPr>
      </w:pPr>
      <w:r>
        <w:rPr>
          <w:rFonts w:ascii="仿宋_GB2312" w:eastAsia="仿宋_GB2312" w:hAnsi="Calibri"/>
          <w:sz w:val="32"/>
        </w:rPr>
        <w:t>（一）技术开发、技术转让合同中的提成部分。</w:t>
      </w:r>
    </w:p>
    <w:p w:rsidR="008B348B" w:rsidRDefault="008B348B" w:rsidP="008B348B">
      <w:pPr>
        <w:pStyle w:val="ListParagraph1"/>
        <w:spacing w:line="640" w:lineRule="exact"/>
        <w:ind w:firstLine="640"/>
        <w:rPr>
          <w:rFonts w:ascii="仿宋_GB2312" w:eastAsia="仿宋_GB2312" w:hAnsi="Calibri" w:hint="default"/>
          <w:sz w:val="32"/>
        </w:rPr>
      </w:pPr>
      <w:r>
        <w:rPr>
          <w:rFonts w:ascii="仿宋_GB2312" w:eastAsia="仿宋_GB2312" w:hAnsi="Calibri"/>
          <w:sz w:val="32"/>
        </w:rPr>
        <w:t>（二）认定登记为技术咨询合同、技术服务合同的交易项目。</w:t>
      </w:r>
    </w:p>
    <w:p w:rsidR="008B348B" w:rsidRDefault="008B348B" w:rsidP="008B348B">
      <w:pPr>
        <w:pStyle w:val="ListParagraph1"/>
        <w:spacing w:line="640" w:lineRule="exact"/>
        <w:ind w:firstLine="640"/>
        <w:rPr>
          <w:rFonts w:eastAsia="仿宋_GB2312" w:hint="default"/>
          <w:sz w:val="32"/>
        </w:rPr>
      </w:pPr>
      <w:r>
        <w:rPr>
          <w:rFonts w:ascii="仿宋_GB2312" w:eastAsia="仿宋_GB2312" w:hAnsi="Calibri"/>
          <w:sz w:val="32"/>
        </w:rPr>
        <w:t>（三）交易成果已在本市科技计划转化类项目中立项支</w:t>
      </w:r>
      <w:r>
        <w:rPr>
          <w:rFonts w:eastAsia="仿宋_GB2312"/>
          <w:sz w:val="32"/>
        </w:rPr>
        <w:t>持的项目不再给予委托或受让企业补助。</w:t>
      </w:r>
    </w:p>
    <w:p w:rsidR="008B348B" w:rsidRDefault="008B348B" w:rsidP="008B348B">
      <w:pPr>
        <w:spacing w:beforeLines="50" w:before="156" w:afterLines="50" w:after="156" w:line="640" w:lineRule="exact"/>
        <w:jc w:val="center"/>
        <w:rPr>
          <w:rFonts w:ascii="黑体" w:eastAsia="黑体" w:hAnsi="黑体"/>
          <w:sz w:val="32"/>
        </w:rPr>
      </w:pPr>
      <w:r>
        <w:rPr>
          <w:rFonts w:eastAsia="黑体"/>
          <w:sz w:val="32"/>
        </w:rPr>
        <w:t>第四章</w:t>
      </w:r>
      <w:r>
        <w:rPr>
          <w:rFonts w:eastAsia="黑体"/>
          <w:sz w:val="32"/>
        </w:rPr>
        <w:t xml:space="preserve"> </w:t>
      </w:r>
      <w:r>
        <w:rPr>
          <w:rFonts w:eastAsia="黑体"/>
          <w:sz w:val="32"/>
        </w:rPr>
        <w:t>资金申报、审核及管理</w:t>
      </w:r>
    </w:p>
    <w:p w:rsidR="008B348B" w:rsidRDefault="008B348B" w:rsidP="008B348B">
      <w:pPr>
        <w:pStyle w:val="ListParagraph1"/>
        <w:numPr>
          <w:ilvl w:val="0"/>
          <w:numId w:val="1"/>
        </w:numPr>
        <w:spacing w:line="640" w:lineRule="exact"/>
        <w:ind w:left="0" w:firstLine="640"/>
        <w:rPr>
          <w:rFonts w:ascii="仿宋_GB2312" w:eastAsia="仿宋_GB2312" w:hAnsi="黑体" w:hint="default"/>
          <w:color w:val="FF0000"/>
          <w:sz w:val="32"/>
          <w:u w:val="single"/>
        </w:rPr>
      </w:pPr>
      <w:r>
        <w:rPr>
          <w:rFonts w:ascii="仿宋_GB2312" w:eastAsia="仿宋_GB2312" w:hAnsi="黑体"/>
          <w:sz w:val="32"/>
        </w:rPr>
        <w:lastRenderedPageBreak/>
        <w:t>申报单位应按照</w:t>
      </w:r>
      <w:r>
        <w:rPr>
          <w:rFonts w:ascii="仿宋_GB2312" w:eastAsia="仿宋_GB2312" w:hAnsi="Calibri"/>
          <w:sz w:val="32"/>
        </w:rPr>
        <w:t>《天津市促进科技成果转化交易项目管理办法》的要求，根据项目受理通知</w:t>
      </w:r>
      <w:r>
        <w:rPr>
          <w:rFonts w:ascii="仿宋_GB2312" w:eastAsia="仿宋_GB2312" w:hAnsi="黑体"/>
          <w:sz w:val="32"/>
        </w:rPr>
        <w:t>中的流程进行申报，提交申请材料。</w:t>
      </w:r>
    </w:p>
    <w:p w:rsidR="008B348B" w:rsidRDefault="008B348B" w:rsidP="008B348B">
      <w:pPr>
        <w:pStyle w:val="ListParagraph1"/>
        <w:numPr>
          <w:ilvl w:val="0"/>
          <w:numId w:val="1"/>
        </w:numPr>
        <w:spacing w:line="640" w:lineRule="exact"/>
        <w:ind w:left="0" w:firstLine="640"/>
        <w:rPr>
          <w:rFonts w:ascii="仿宋_GB2312" w:eastAsia="仿宋_GB2312" w:hAnsi="黑体" w:hint="default"/>
          <w:sz w:val="32"/>
        </w:rPr>
      </w:pPr>
      <w:r>
        <w:rPr>
          <w:rFonts w:ascii="仿宋_GB2312" w:eastAsia="仿宋_GB2312" w:hAnsi="黑体"/>
          <w:sz w:val="32"/>
        </w:rPr>
        <w:t>市科委对项目申请材料的完整性、规范性和真实性进行审核，形成</w:t>
      </w:r>
      <w:r>
        <w:rPr>
          <w:rFonts w:ascii="仿宋_GB2312" w:eastAsia="仿宋_GB2312" w:hAnsi="Calibri"/>
          <w:sz w:val="32"/>
        </w:rPr>
        <w:t>补助</w:t>
      </w:r>
      <w:r>
        <w:rPr>
          <w:rFonts w:ascii="仿宋_GB2312" w:eastAsia="仿宋_GB2312" w:hAnsi="黑体"/>
          <w:sz w:val="32"/>
        </w:rPr>
        <w:t>名单及</w:t>
      </w:r>
      <w:r>
        <w:rPr>
          <w:rFonts w:ascii="仿宋_GB2312" w:eastAsia="仿宋_GB2312" w:hAnsi="Calibri"/>
          <w:sz w:val="32"/>
        </w:rPr>
        <w:t>补助</w:t>
      </w:r>
      <w:r>
        <w:rPr>
          <w:rFonts w:ascii="仿宋_GB2312" w:eastAsia="仿宋_GB2312" w:hAnsi="黑体"/>
          <w:sz w:val="32"/>
        </w:rPr>
        <w:t>金额，并向社会公示。</w:t>
      </w:r>
    </w:p>
    <w:p w:rsidR="008B348B" w:rsidRDefault="008B348B" w:rsidP="008B348B">
      <w:pPr>
        <w:pStyle w:val="ListParagraph1"/>
        <w:numPr>
          <w:ilvl w:val="0"/>
          <w:numId w:val="1"/>
        </w:numPr>
        <w:spacing w:line="640" w:lineRule="exact"/>
        <w:ind w:left="0" w:firstLine="640"/>
        <w:rPr>
          <w:rFonts w:ascii="仿宋_GB2312" w:eastAsia="仿宋_GB2312" w:hAnsi="黑体" w:hint="default"/>
          <w:color w:val="FF0000"/>
          <w:sz w:val="32"/>
          <w:u w:val="single"/>
        </w:rPr>
      </w:pPr>
      <w:r>
        <w:rPr>
          <w:rFonts w:ascii="仿宋_GB2312" w:eastAsia="仿宋_GB2312" w:hAnsi="黑体"/>
          <w:sz w:val="32"/>
        </w:rPr>
        <w:t>市科委根据公示结果，提出</w:t>
      </w:r>
      <w:r>
        <w:rPr>
          <w:rFonts w:ascii="仿宋_GB2312" w:eastAsia="仿宋_GB2312" w:hAnsi="Calibri"/>
          <w:sz w:val="32"/>
        </w:rPr>
        <w:t>补助</w:t>
      </w:r>
      <w:r>
        <w:rPr>
          <w:rFonts w:ascii="仿宋_GB2312" w:eastAsia="仿宋_GB2312" w:hAnsi="黑体"/>
          <w:sz w:val="32"/>
        </w:rPr>
        <w:t>资金预算安排建议，报市财政局批复。预算批复下达后，资金按照财政国库管理制度有关规定支付至市科委或获得</w:t>
      </w:r>
      <w:r>
        <w:rPr>
          <w:rFonts w:ascii="仿宋_GB2312" w:eastAsia="仿宋_GB2312" w:hAnsi="Calibri"/>
          <w:sz w:val="32"/>
        </w:rPr>
        <w:t>补助</w:t>
      </w:r>
      <w:r>
        <w:rPr>
          <w:rFonts w:ascii="仿宋_GB2312" w:eastAsia="仿宋_GB2312" w:hAnsi="黑体"/>
          <w:sz w:val="32"/>
        </w:rPr>
        <w:t>资金的单位。</w:t>
      </w:r>
    </w:p>
    <w:p w:rsidR="008B348B" w:rsidRDefault="008B348B" w:rsidP="008B348B">
      <w:pPr>
        <w:pStyle w:val="ListParagraph1"/>
        <w:numPr>
          <w:ilvl w:val="0"/>
          <w:numId w:val="1"/>
        </w:numPr>
        <w:spacing w:line="640" w:lineRule="exact"/>
        <w:ind w:left="0" w:firstLine="640"/>
        <w:rPr>
          <w:rFonts w:ascii="黑体" w:eastAsia="黑体" w:hAnsi="黑体" w:hint="default"/>
          <w:sz w:val="32"/>
        </w:rPr>
      </w:pPr>
      <w:r>
        <w:rPr>
          <w:rFonts w:ascii="仿宋_GB2312" w:eastAsia="仿宋_GB2312" w:hAnsi="黑体"/>
          <w:sz w:val="32"/>
        </w:rPr>
        <w:t>市科委对线上技术转移机构的服务能力、交易量进行考核。考核通过后，市财政根据考核结果给予相应</w:t>
      </w:r>
      <w:r>
        <w:rPr>
          <w:rFonts w:ascii="仿宋_GB2312" w:eastAsia="仿宋_GB2312" w:hAnsi="Calibri"/>
          <w:sz w:val="32"/>
        </w:rPr>
        <w:t>补助</w:t>
      </w:r>
      <w:r>
        <w:rPr>
          <w:rFonts w:ascii="仿宋_GB2312" w:eastAsia="仿宋_GB2312" w:hAnsi="黑体"/>
          <w:sz w:val="32"/>
        </w:rPr>
        <w:t>。</w:t>
      </w:r>
    </w:p>
    <w:p w:rsidR="008B348B" w:rsidRDefault="008B348B" w:rsidP="008B348B">
      <w:pPr>
        <w:pStyle w:val="ListParagraph1"/>
        <w:numPr>
          <w:ilvl w:val="0"/>
          <w:numId w:val="1"/>
        </w:numPr>
        <w:spacing w:line="640" w:lineRule="exact"/>
        <w:ind w:left="0" w:firstLine="640"/>
        <w:rPr>
          <w:rFonts w:ascii="黑体" w:eastAsia="黑体" w:hAnsi="黑体" w:hint="default"/>
          <w:sz w:val="32"/>
        </w:rPr>
      </w:pPr>
      <w:r>
        <w:rPr>
          <w:rFonts w:eastAsia="仿宋_GB2312"/>
          <w:sz w:val="32"/>
        </w:rPr>
        <w:t>市科委应从每年三季度起研究下一年度项目申报、审核等工作，按预算管理要求，在编制年度财政预算或部门预算时同步编制下一年度预算，及时将编制的预算情况报送市财政局，作为向财政部门申请财政资金的依据。</w:t>
      </w:r>
    </w:p>
    <w:p w:rsidR="008B348B" w:rsidRDefault="008B348B" w:rsidP="008B348B">
      <w:pPr>
        <w:pStyle w:val="ListParagraph1"/>
        <w:numPr>
          <w:ilvl w:val="0"/>
          <w:numId w:val="1"/>
        </w:numPr>
        <w:spacing w:line="640" w:lineRule="exact"/>
        <w:ind w:left="0" w:firstLine="640"/>
        <w:jc w:val="left"/>
        <w:rPr>
          <w:rFonts w:ascii="仿宋_GB2312" w:eastAsia="仿宋_GB2312" w:hAnsi="Calibri" w:hint="default"/>
          <w:sz w:val="32"/>
        </w:rPr>
      </w:pPr>
      <w:r>
        <w:rPr>
          <w:rFonts w:ascii="仿宋_GB2312" w:eastAsia="仿宋_GB2312" w:hAnsi="Calibri"/>
          <w:sz w:val="32"/>
        </w:rPr>
        <w:t>补助资金预算一经批复，应严格执行，原则上不予调整。因特殊情况确需调整的，主管部门提出审核意见，报市财政局审核。</w:t>
      </w:r>
    </w:p>
    <w:p w:rsidR="008B348B" w:rsidRDefault="008B348B" w:rsidP="008B348B">
      <w:pPr>
        <w:pStyle w:val="ListParagraph1"/>
        <w:numPr>
          <w:ilvl w:val="0"/>
          <w:numId w:val="1"/>
        </w:numPr>
        <w:spacing w:line="640" w:lineRule="exact"/>
        <w:ind w:left="0" w:firstLine="640"/>
        <w:jc w:val="left"/>
        <w:rPr>
          <w:rFonts w:ascii="仿宋_GB2312" w:eastAsia="仿宋_GB2312" w:hAnsi="Calibri" w:hint="default"/>
          <w:sz w:val="32"/>
        </w:rPr>
      </w:pPr>
      <w:r>
        <w:rPr>
          <w:rFonts w:ascii="仿宋_GB2312" w:eastAsia="仿宋_GB2312" w:hAnsi="Calibri"/>
          <w:sz w:val="32"/>
        </w:rPr>
        <w:t>补助资金应当纳入单位财务统一核算，按照国家和我市有关财务管理规定进行管理。</w:t>
      </w:r>
    </w:p>
    <w:p w:rsidR="008B348B" w:rsidRDefault="008B348B" w:rsidP="008B348B">
      <w:pPr>
        <w:pStyle w:val="ListParagraph1"/>
        <w:spacing w:beforeLines="50" w:before="156" w:afterLines="50" w:after="156" w:line="640" w:lineRule="exact"/>
        <w:ind w:left="641" w:firstLineChars="400" w:firstLine="1280"/>
        <w:rPr>
          <w:rFonts w:ascii="黑体" w:eastAsia="黑体" w:hAnsi="黑体" w:hint="default"/>
          <w:sz w:val="32"/>
        </w:rPr>
      </w:pPr>
      <w:r>
        <w:rPr>
          <w:rFonts w:ascii="黑体" w:eastAsia="黑体" w:hAnsi="黑体"/>
          <w:sz w:val="32"/>
        </w:rPr>
        <w:lastRenderedPageBreak/>
        <w:t>第五章  绩效评价和监督检查</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补助资金实施全过程绩效管理。市科委对补助资金安排使用情况实行绩效自评。市科委和市财政局可通过政府购买服务等方式确定实施单位，开展项目受理、审核等工作，以及对资金分配使用和实施效果进行评价，所需经费在补助资金中列支，原则上不超过资金总额的1%。</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补助资金管理应当接受财政、审计以及主管部门等部门的检查和监督。对检查中发现的财政违法行为，应当按照《财政违法行为处罚处分条例》等有关规定予以处理。情节严重涉嫌犯罪的，依法移送司法机关处理。</w:t>
      </w:r>
    </w:p>
    <w:p w:rsidR="008B348B" w:rsidRDefault="008B348B" w:rsidP="008B348B">
      <w:pPr>
        <w:pStyle w:val="ListParagraph1"/>
        <w:numPr>
          <w:ilvl w:val="0"/>
          <w:numId w:val="1"/>
        </w:numPr>
        <w:spacing w:line="640" w:lineRule="exact"/>
        <w:ind w:left="0" w:firstLine="640"/>
        <w:rPr>
          <w:rFonts w:ascii="仿宋_GB2312" w:eastAsia="仿宋_GB2312" w:hAnsi="Calibri" w:hint="default"/>
          <w:sz w:val="32"/>
        </w:rPr>
      </w:pPr>
      <w:r>
        <w:rPr>
          <w:rFonts w:ascii="仿宋_GB2312" w:eastAsia="仿宋_GB2312" w:hAnsi="Calibri"/>
          <w:sz w:val="32"/>
        </w:rPr>
        <w:t>项目申报单位存在弄虚作假、伪造成果、重复申报，骗取财政资金的，视情节轻重，采取警告、记入不良信用记录等处理措施，并将信用记录作为今后申请补助资金的依据；已经获得补助资金的，应当予以追回。</w:t>
      </w:r>
    </w:p>
    <w:p w:rsidR="008B348B" w:rsidRDefault="008B348B" w:rsidP="008B348B">
      <w:pPr>
        <w:pStyle w:val="ListParagraph1"/>
        <w:numPr>
          <w:ilvl w:val="0"/>
          <w:numId w:val="1"/>
        </w:numPr>
        <w:spacing w:line="640" w:lineRule="exact"/>
        <w:ind w:left="0" w:firstLine="640"/>
        <w:rPr>
          <w:rFonts w:eastAsia="仿宋_GB2312" w:hint="default"/>
          <w:sz w:val="32"/>
        </w:rPr>
      </w:pPr>
      <w:r>
        <w:rPr>
          <w:rFonts w:eastAsia="仿宋_GB2312"/>
          <w:sz w:val="32"/>
        </w:rPr>
        <w:t>专家和第三方机构在</w:t>
      </w:r>
      <w:r>
        <w:rPr>
          <w:rFonts w:ascii="仿宋_GB2312" w:eastAsia="仿宋_GB2312" w:hAnsi="Calibri"/>
          <w:sz w:val="32"/>
        </w:rPr>
        <w:t>补助</w:t>
      </w:r>
      <w:r>
        <w:rPr>
          <w:rFonts w:eastAsia="仿宋_GB2312"/>
          <w:sz w:val="32"/>
        </w:rPr>
        <w:t>项目管理中存在弄虚作假等违规行为的，视情节轻重，可以采取宣布其出具的相关结果无效、通报批评、降低信用评级等处理措施，并将违规记录作为补贴项目资金管理遴选专家和第三方机构的重要依据。</w:t>
      </w:r>
    </w:p>
    <w:p w:rsidR="008B348B" w:rsidRDefault="008B348B" w:rsidP="008B348B">
      <w:pPr>
        <w:spacing w:beforeLines="50" w:before="156" w:afterLines="50" w:after="156" w:line="640" w:lineRule="exact"/>
        <w:jc w:val="center"/>
        <w:rPr>
          <w:rFonts w:ascii="黑体" w:eastAsia="黑体" w:hAnsi="黑体"/>
          <w:sz w:val="32"/>
        </w:rPr>
      </w:pPr>
      <w:r>
        <w:rPr>
          <w:rFonts w:ascii="黑体" w:eastAsia="黑体" w:hAnsi="黑体"/>
          <w:sz w:val="32"/>
        </w:rPr>
        <w:t>第六章 信息公开</w:t>
      </w:r>
    </w:p>
    <w:p w:rsidR="008B348B" w:rsidRDefault="008B348B" w:rsidP="008B348B">
      <w:pPr>
        <w:pStyle w:val="ListParagraph1"/>
        <w:numPr>
          <w:ilvl w:val="0"/>
          <w:numId w:val="1"/>
        </w:numPr>
        <w:spacing w:line="640" w:lineRule="exact"/>
        <w:ind w:left="0" w:firstLine="640"/>
        <w:rPr>
          <w:rFonts w:ascii="黑体" w:eastAsia="黑体" w:hAnsi="黑体" w:hint="default"/>
          <w:sz w:val="32"/>
        </w:rPr>
      </w:pPr>
      <w:r>
        <w:rPr>
          <w:rFonts w:ascii="仿宋_GB2312" w:eastAsia="仿宋_GB2312" w:hAnsi="Calibri"/>
          <w:sz w:val="32"/>
        </w:rPr>
        <w:t>市科委在门户网站公开以下信息：</w:t>
      </w:r>
    </w:p>
    <w:p w:rsidR="008B348B" w:rsidRDefault="008B348B" w:rsidP="008B348B">
      <w:pPr>
        <w:pStyle w:val="ListParagraph1"/>
        <w:spacing w:line="640" w:lineRule="exact"/>
        <w:ind w:firstLine="640"/>
        <w:rPr>
          <w:rFonts w:ascii="仿宋_GB2312" w:eastAsia="仿宋_GB2312" w:hAnsi="Calibri" w:hint="default"/>
          <w:sz w:val="32"/>
        </w:rPr>
      </w:pPr>
      <w:r>
        <w:rPr>
          <w:rFonts w:ascii="仿宋_GB2312" w:eastAsia="仿宋_GB2312" w:hAnsi="Calibri"/>
          <w:sz w:val="32"/>
        </w:rPr>
        <w:lastRenderedPageBreak/>
        <w:t>（一）公开补助资金管理办法、受理通知等相关政策文件；</w:t>
      </w:r>
    </w:p>
    <w:p w:rsidR="008B348B" w:rsidRDefault="008B348B" w:rsidP="008B348B">
      <w:pPr>
        <w:pStyle w:val="ListParagraph1"/>
        <w:spacing w:line="640" w:lineRule="exact"/>
        <w:ind w:firstLine="640"/>
        <w:rPr>
          <w:rFonts w:eastAsia="仿宋_GB2312" w:hint="default"/>
          <w:sz w:val="32"/>
        </w:rPr>
      </w:pPr>
      <w:r>
        <w:rPr>
          <w:rFonts w:ascii="仿宋_GB2312" w:eastAsia="仿宋_GB2312" w:hAnsi="Calibri"/>
          <w:sz w:val="32"/>
        </w:rPr>
        <w:t>（二）补助资金按规定程序审核确定</w:t>
      </w:r>
      <w:r>
        <w:rPr>
          <w:rFonts w:eastAsia="仿宋_GB2312"/>
          <w:sz w:val="32"/>
        </w:rPr>
        <w:t>后</w:t>
      </w:r>
      <w:r>
        <w:rPr>
          <w:rFonts w:eastAsia="仿宋_GB2312" w:hint="default"/>
          <w:sz w:val="32"/>
        </w:rPr>
        <w:t>20</w:t>
      </w:r>
      <w:r>
        <w:rPr>
          <w:rFonts w:eastAsia="仿宋_GB2312"/>
          <w:sz w:val="32"/>
        </w:rPr>
        <w:t>个工作日内，对</w:t>
      </w:r>
      <w:r>
        <w:rPr>
          <w:rFonts w:ascii="仿宋_GB2312" w:eastAsia="仿宋_GB2312" w:hAnsi="Calibri"/>
          <w:sz w:val="32"/>
        </w:rPr>
        <w:t>补助</w:t>
      </w:r>
      <w:r>
        <w:rPr>
          <w:rFonts w:eastAsia="仿宋_GB2312"/>
          <w:sz w:val="32"/>
        </w:rPr>
        <w:t>资金进行公示；</w:t>
      </w:r>
    </w:p>
    <w:p w:rsidR="008B348B" w:rsidRDefault="008B348B" w:rsidP="008B348B">
      <w:pPr>
        <w:pStyle w:val="ListParagraph1"/>
        <w:spacing w:line="640" w:lineRule="exact"/>
        <w:ind w:firstLine="640"/>
        <w:rPr>
          <w:rFonts w:eastAsia="仿宋_GB2312" w:hint="default"/>
          <w:sz w:val="32"/>
        </w:rPr>
      </w:pPr>
      <w:r>
        <w:rPr>
          <w:rFonts w:eastAsia="仿宋_GB2312"/>
          <w:sz w:val="32"/>
        </w:rPr>
        <w:t>（三）</w:t>
      </w:r>
      <w:r>
        <w:rPr>
          <w:rFonts w:ascii="仿宋_GB2312" w:eastAsia="仿宋_GB2312" w:hAnsi="Calibri"/>
          <w:sz w:val="32"/>
        </w:rPr>
        <w:t>补助</w:t>
      </w:r>
      <w:r>
        <w:rPr>
          <w:rFonts w:eastAsia="仿宋_GB2312"/>
          <w:sz w:val="32"/>
        </w:rPr>
        <w:t>资金支持单位、补助情况、违规行为及处理结果等。</w:t>
      </w:r>
    </w:p>
    <w:p w:rsidR="008B348B" w:rsidRDefault="008B348B" w:rsidP="008B348B">
      <w:pPr>
        <w:spacing w:beforeLines="50" w:before="156" w:afterLines="50" w:after="156" w:line="640" w:lineRule="exact"/>
        <w:jc w:val="center"/>
        <w:rPr>
          <w:rFonts w:ascii="黑体" w:eastAsia="黑体" w:hAnsi="黑体"/>
          <w:sz w:val="32"/>
        </w:rPr>
      </w:pPr>
      <w:r>
        <w:rPr>
          <w:rFonts w:eastAsia="黑体"/>
          <w:sz w:val="32"/>
        </w:rPr>
        <w:t>第七章</w:t>
      </w:r>
      <w:r>
        <w:rPr>
          <w:rFonts w:eastAsia="黑体"/>
          <w:sz w:val="32"/>
        </w:rPr>
        <w:t xml:space="preserve"> </w:t>
      </w:r>
      <w:r>
        <w:rPr>
          <w:rFonts w:eastAsia="黑体"/>
          <w:sz w:val="32"/>
        </w:rPr>
        <w:t>附则</w:t>
      </w:r>
    </w:p>
    <w:p w:rsidR="008B348B" w:rsidRPr="00D51400" w:rsidRDefault="008B348B" w:rsidP="008B348B">
      <w:pPr>
        <w:pStyle w:val="ListParagraph1"/>
        <w:numPr>
          <w:ilvl w:val="0"/>
          <w:numId w:val="1"/>
        </w:numPr>
        <w:spacing w:line="640" w:lineRule="exact"/>
        <w:ind w:left="0" w:firstLine="640"/>
        <w:rPr>
          <w:rFonts w:ascii="黑体" w:eastAsia="黑体" w:hAnsi="黑体" w:hint="default"/>
          <w:sz w:val="32"/>
        </w:rPr>
      </w:pPr>
      <w:r>
        <w:rPr>
          <w:rFonts w:eastAsia="仿宋_GB2312"/>
          <w:sz w:val="32"/>
        </w:rPr>
        <w:t>本办法由市财政局、市科委负责解释。</w:t>
      </w:r>
    </w:p>
    <w:p w:rsidR="008B348B" w:rsidRPr="00D51400" w:rsidRDefault="008B348B" w:rsidP="008B348B">
      <w:pPr>
        <w:pStyle w:val="ListParagraph1"/>
        <w:numPr>
          <w:ilvl w:val="0"/>
          <w:numId w:val="1"/>
        </w:numPr>
        <w:spacing w:line="640" w:lineRule="exact"/>
        <w:ind w:left="0" w:firstLine="640"/>
        <w:rPr>
          <w:rFonts w:ascii="黑体" w:eastAsia="黑体" w:hAnsi="黑体" w:hint="default"/>
          <w:sz w:val="32"/>
        </w:rPr>
      </w:pPr>
      <w:r>
        <w:rPr>
          <w:rFonts w:eastAsia="仿宋_GB2312"/>
          <w:sz w:val="32"/>
        </w:rPr>
        <w:t>本办法自发布之日起施行，有效期五年。</w:t>
      </w:r>
    </w:p>
    <w:p w:rsidR="00147434" w:rsidRPr="008B348B" w:rsidRDefault="00147434">
      <w:bookmarkStart w:id="0" w:name="_GoBack"/>
      <w:bookmarkEnd w:id="0"/>
    </w:p>
    <w:sectPr w:rsidR="00147434" w:rsidRPr="008B34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94" w:rsidRDefault="00D17794" w:rsidP="008B348B">
      <w:pPr>
        <w:spacing w:line="240" w:lineRule="auto"/>
      </w:pPr>
      <w:r>
        <w:separator/>
      </w:r>
    </w:p>
  </w:endnote>
  <w:endnote w:type="continuationSeparator" w:id="0">
    <w:p w:rsidR="00D17794" w:rsidRDefault="00D17794" w:rsidP="008B3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94" w:rsidRDefault="00D17794" w:rsidP="008B348B">
      <w:pPr>
        <w:spacing w:line="240" w:lineRule="auto"/>
      </w:pPr>
      <w:r>
        <w:separator/>
      </w:r>
    </w:p>
  </w:footnote>
  <w:footnote w:type="continuationSeparator" w:id="0">
    <w:p w:rsidR="00D17794" w:rsidRDefault="00D17794" w:rsidP="008B34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94975"/>
    <w:multiLevelType w:val="multilevel"/>
    <w:tmpl w:val="700C016E"/>
    <w:lvl w:ilvl="0">
      <w:start w:val="1"/>
      <w:numFmt w:val="chineseCountingThousand"/>
      <w:lvlText w:val="第%1条"/>
      <w:lvlJc w:val="left"/>
      <w:pPr>
        <w:ind w:left="1554" w:hanging="420"/>
      </w:pPr>
      <w:rPr>
        <w:rFonts w:ascii="黑体" w:eastAsia="黑体" w:hAnsi="黑体" w:hint="default"/>
        <w:b w:val="0"/>
        <w:color w:val="auto"/>
      </w:rPr>
    </w:lvl>
    <w:lvl w:ilvl="1">
      <w:start w:val="1"/>
      <w:numFmt w:val="lowerLetter"/>
      <w:lvlText w:val="%2)"/>
      <w:lvlJc w:val="left"/>
      <w:pPr>
        <w:ind w:left="591" w:hanging="420"/>
      </w:pPr>
      <w:rPr>
        <w:rFonts w:ascii="Times New Roman" w:hint="default"/>
      </w:rPr>
    </w:lvl>
    <w:lvl w:ilvl="2">
      <w:start w:val="1"/>
      <w:numFmt w:val="lowerRoman"/>
      <w:lvlText w:val="%3."/>
      <w:lvlJc w:val="right"/>
      <w:pPr>
        <w:ind w:left="1011" w:hanging="420"/>
      </w:pPr>
      <w:rPr>
        <w:rFonts w:ascii="Times New Roman" w:hint="default"/>
      </w:rPr>
    </w:lvl>
    <w:lvl w:ilvl="3">
      <w:start w:val="1"/>
      <w:numFmt w:val="decimal"/>
      <w:lvlText w:val="%4."/>
      <w:lvlJc w:val="left"/>
      <w:pPr>
        <w:ind w:left="1431" w:hanging="420"/>
      </w:pPr>
      <w:rPr>
        <w:rFonts w:ascii="Times New Roman" w:hint="default"/>
      </w:rPr>
    </w:lvl>
    <w:lvl w:ilvl="4">
      <w:start w:val="1"/>
      <w:numFmt w:val="lowerLetter"/>
      <w:lvlText w:val="%5)"/>
      <w:lvlJc w:val="left"/>
      <w:pPr>
        <w:ind w:left="1851" w:hanging="420"/>
      </w:pPr>
      <w:rPr>
        <w:rFonts w:ascii="Times New Roman" w:hint="default"/>
      </w:rPr>
    </w:lvl>
    <w:lvl w:ilvl="5">
      <w:start w:val="1"/>
      <w:numFmt w:val="lowerRoman"/>
      <w:lvlText w:val="%6."/>
      <w:lvlJc w:val="right"/>
      <w:pPr>
        <w:ind w:left="2271" w:hanging="420"/>
      </w:pPr>
      <w:rPr>
        <w:rFonts w:ascii="Times New Roman" w:hint="default"/>
      </w:rPr>
    </w:lvl>
    <w:lvl w:ilvl="6">
      <w:start w:val="1"/>
      <w:numFmt w:val="decimal"/>
      <w:lvlText w:val="%7."/>
      <w:lvlJc w:val="left"/>
      <w:pPr>
        <w:ind w:left="2691" w:hanging="420"/>
      </w:pPr>
      <w:rPr>
        <w:rFonts w:ascii="Times New Roman" w:hint="default"/>
      </w:rPr>
    </w:lvl>
    <w:lvl w:ilvl="7">
      <w:start w:val="1"/>
      <w:numFmt w:val="lowerLetter"/>
      <w:lvlText w:val="%8)"/>
      <w:lvlJc w:val="left"/>
      <w:pPr>
        <w:ind w:left="3111" w:hanging="420"/>
      </w:pPr>
      <w:rPr>
        <w:rFonts w:ascii="Times New Roman" w:hint="default"/>
      </w:rPr>
    </w:lvl>
    <w:lvl w:ilvl="8">
      <w:start w:val="1"/>
      <w:numFmt w:val="lowerRoman"/>
      <w:lvlText w:val="%9."/>
      <w:lvlJc w:val="right"/>
      <w:pPr>
        <w:ind w:left="3531" w:hanging="420"/>
      </w:pPr>
      <w:rPr>
        <w:rFonts w:ascii="Times New Roman" w:hint="default"/>
      </w:rPr>
    </w:lvl>
  </w:abstractNum>
  <w:abstractNum w:abstractNumId="1">
    <w:nsid w:val="5B18B62D"/>
    <w:multiLevelType w:val="multilevel"/>
    <w:tmpl w:val="5B18B62D"/>
    <w:lvl w:ilvl="0">
      <w:start w:val="1"/>
      <w:numFmt w:val="decimal"/>
      <w:suff w:val="nothing"/>
      <w:lvlText w:val="%1."/>
      <w:lvlJc w:val="left"/>
      <w:rPr>
        <w:rFonts w:ascii="Times New Roman"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F"/>
    <w:rsid w:val="00147434"/>
    <w:rsid w:val="008B348B"/>
    <w:rsid w:val="00A1294F"/>
    <w:rsid w:val="00D1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8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48B"/>
    <w:rPr>
      <w:sz w:val="18"/>
      <w:szCs w:val="18"/>
    </w:rPr>
  </w:style>
  <w:style w:type="paragraph" w:styleId="a4">
    <w:name w:val="footer"/>
    <w:basedOn w:val="a"/>
    <w:link w:val="Char0"/>
    <w:uiPriority w:val="99"/>
    <w:unhideWhenUsed/>
    <w:rsid w:val="008B348B"/>
    <w:pPr>
      <w:tabs>
        <w:tab w:val="center" w:pos="4153"/>
        <w:tab w:val="right" w:pos="8306"/>
      </w:tabs>
      <w:snapToGrid w:val="0"/>
    </w:pPr>
    <w:rPr>
      <w:sz w:val="18"/>
      <w:szCs w:val="18"/>
    </w:rPr>
  </w:style>
  <w:style w:type="character" w:customStyle="1" w:styleId="Char0">
    <w:name w:val="页脚 Char"/>
    <w:basedOn w:val="a0"/>
    <w:link w:val="a4"/>
    <w:uiPriority w:val="99"/>
    <w:rsid w:val="008B348B"/>
    <w:rPr>
      <w:sz w:val="18"/>
      <w:szCs w:val="18"/>
    </w:rPr>
  </w:style>
  <w:style w:type="paragraph" w:customStyle="1" w:styleId="ListParagraph1">
    <w:name w:val="List Paragraph1"/>
    <w:basedOn w:val="a"/>
    <w:uiPriority w:val="99"/>
    <w:unhideWhenUsed/>
    <w:rsid w:val="008B348B"/>
    <w:pPr>
      <w:adjustRightInd/>
      <w:spacing w:line="240" w:lineRule="auto"/>
      <w:ind w:firstLineChars="200" w:firstLine="420"/>
      <w:jc w:val="both"/>
      <w:textAlignment w:val="auto"/>
    </w:pPr>
    <w:rPr>
      <w:rFonts w:hint="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8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48B"/>
    <w:rPr>
      <w:sz w:val="18"/>
      <w:szCs w:val="18"/>
    </w:rPr>
  </w:style>
  <w:style w:type="paragraph" w:styleId="a4">
    <w:name w:val="footer"/>
    <w:basedOn w:val="a"/>
    <w:link w:val="Char0"/>
    <w:uiPriority w:val="99"/>
    <w:unhideWhenUsed/>
    <w:rsid w:val="008B348B"/>
    <w:pPr>
      <w:tabs>
        <w:tab w:val="center" w:pos="4153"/>
        <w:tab w:val="right" w:pos="8306"/>
      </w:tabs>
      <w:snapToGrid w:val="0"/>
    </w:pPr>
    <w:rPr>
      <w:sz w:val="18"/>
      <w:szCs w:val="18"/>
    </w:rPr>
  </w:style>
  <w:style w:type="character" w:customStyle="1" w:styleId="Char0">
    <w:name w:val="页脚 Char"/>
    <w:basedOn w:val="a0"/>
    <w:link w:val="a4"/>
    <w:uiPriority w:val="99"/>
    <w:rsid w:val="008B348B"/>
    <w:rPr>
      <w:sz w:val="18"/>
      <w:szCs w:val="18"/>
    </w:rPr>
  </w:style>
  <w:style w:type="paragraph" w:customStyle="1" w:styleId="ListParagraph1">
    <w:name w:val="List Paragraph1"/>
    <w:basedOn w:val="a"/>
    <w:uiPriority w:val="99"/>
    <w:unhideWhenUsed/>
    <w:rsid w:val="008B348B"/>
    <w:pPr>
      <w:adjustRightInd/>
      <w:spacing w:line="240" w:lineRule="auto"/>
      <w:ind w:firstLineChars="200" w:firstLine="420"/>
      <w:jc w:val="both"/>
      <w:textAlignment w:val="auto"/>
    </w:pPr>
    <w:rPr>
      <w:rFonts w:hint="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HTTC TWO</dc:creator>
  <cp:keywords/>
  <dc:description/>
  <cp:lastModifiedBy>HTTC TWO</cp:lastModifiedBy>
  <cp:revision>2</cp:revision>
  <dcterms:created xsi:type="dcterms:W3CDTF">2018-10-22T01:49:00Z</dcterms:created>
  <dcterms:modified xsi:type="dcterms:W3CDTF">2018-10-22T01:50:00Z</dcterms:modified>
</cp:coreProperties>
</file>