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topLinePunct/>
        <w:spacing w:line="56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2018年度京津冀基础研究合作专项</w:t>
      </w:r>
    </w:p>
    <w:p>
      <w:pPr>
        <w:topLinePunct/>
        <w:spacing w:line="560" w:lineRule="exact"/>
        <w:jc w:val="center"/>
        <w:rPr>
          <w:rFonts w:hint="eastAsia" w:ascii="宋体" w:hAnsi="宋体" w:eastAsia="宋体" w:cs="宋体"/>
          <w:b/>
          <w:bCs/>
          <w:spacing w:val="-2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-20"/>
          <w:sz w:val="30"/>
          <w:szCs w:val="30"/>
        </w:rPr>
        <w:t>“精准医学研究”项目申报指南</w:t>
      </w:r>
    </w:p>
    <w:p>
      <w:pPr>
        <w:topLinePunct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widowControl/>
        <w:spacing w:line="5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为了贯彻落实京津冀协同发展国家战略，按照京津冀基础研究合作协议要求，2018年度继续开展京津冀基础研究合作专项资助工作。本年度资助领域为：精准医学。通过充分整合京津冀三地临床医疗和科学研究的资源，进一步完善精准医学体系，协同发展，促进京津冀三地精准医学一体化，实现区域合理布局。努力形成资源集成、人才集成、临床样本集成的创新体系。</w:t>
      </w:r>
    </w:p>
    <w:p>
      <w:pPr>
        <w:widowControl/>
        <w:spacing w:line="500" w:lineRule="exact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研究内容：</w:t>
      </w:r>
    </w:p>
    <w:p>
      <w:pPr>
        <w:widowControl/>
        <w:spacing w:line="500" w:lineRule="exact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在京津冀高发、危害重大并具有研究优势和特色的疾病领域，鼓励有研究基础的团队，利用已有研究队列、生物样本库、数据库等，通过基因、蛋白质、代谢等多组学研究，分子、影像诊断技术研究等，开展疾病发生、发展的分子机制研究，发现早期筛查、诊断相关的生物标志物、易感基因以及新药干预靶点，并组织开展临床验证，为提高疾病的早期诊断，治疗方法创新和发展新型药物提供研究基础，在此基础上逐渐优化形成一批在重大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疾病前沿领域稳定合作的京津冀三地研究团队,及可共享的生物样本库及数据库。</w:t>
      </w:r>
    </w:p>
    <w:p>
      <w:pPr>
        <w:widowControl/>
        <w:spacing w:line="500" w:lineRule="exact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优先资助研究领域：</w:t>
      </w:r>
    </w:p>
    <w:p>
      <w:pPr>
        <w:widowControl/>
        <w:spacing w:line="5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重大心血管疾病；神经系统和认知疾病；恶性肿瘤和难治性血液病；糖尿病等代谢性疾病。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C"/>
    <w:rsid w:val="0032355A"/>
    <w:rsid w:val="005C1207"/>
    <w:rsid w:val="009E050C"/>
    <w:rsid w:val="00A81D7F"/>
    <w:rsid w:val="00C263C3"/>
    <w:rsid w:val="462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2018-05-17T02:07:00Z</dcterms:created>
  <dc:creator>郭彤</dc:creator>
  <cp:lastModifiedBy>chenwen</cp:lastModifiedBy>
  <dcterms:modified xsi:type="dcterms:W3CDTF">2018-09-04T01:25:26Z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