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F5" w:rsidRDefault="009B44F5" w:rsidP="009B44F5">
      <w:pPr>
        <w:pStyle w:val="hur1"/>
        <w:shd w:val="clear" w:color="auto" w:fill="FFFFFF"/>
        <w:spacing w:before="0" w:beforeAutospacing="0" w:after="150" w:afterAutospacing="0" w:line="900" w:lineRule="atLeast"/>
        <w:ind w:firstLine="480"/>
        <w:jc w:val="center"/>
        <w:rPr>
          <w:rFonts w:ascii="微软雅黑" w:eastAsia="微软雅黑" w:hAnsi="微软雅黑"/>
          <w:color w:val="1B1B1B"/>
          <w:sz w:val="30"/>
          <w:szCs w:val="30"/>
        </w:rPr>
      </w:pPr>
      <w:r>
        <w:rPr>
          <w:rFonts w:ascii="微软雅黑" w:eastAsia="微软雅黑" w:hAnsi="微软雅黑" w:hint="eastAsia"/>
          <w:color w:val="1B1B1B"/>
          <w:sz w:val="30"/>
          <w:szCs w:val="30"/>
        </w:rPr>
        <w:t>泰科易—泰州网上技术交易平台专项奖励实施办法（试行）</w:t>
      </w:r>
    </w:p>
    <w:p w:rsidR="009B44F5" w:rsidRDefault="009B44F5" w:rsidP="009B44F5">
      <w:pPr>
        <w:pStyle w:val="a3"/>
        <w:shd w:val="clear" w:color="auto" w:fill="FFFFFF"/>
        <w:spacing w:before="0" w:beforeAutospacing="0" w:after="150" w:afterAutospacing="0" w:line="450" w:lineRule="atLeast"/>
        <w:ind w:firstLine="480"/>
        <w:rPr>
          <w:rFonts w:hint="eastAsia"/>
          <w:color w:val="1B1B1B"/>
          <w:sz w:val="21"/>
          <w:szCs w:val="21"/>
        </w:rPr>
      </w:pPr>
      <w:r>
        <w:rPr>
          <w:rFonts w:hint="eastAsia"/>
          <w:color w:val="1B1B1B"/>
          <w:sz w:val="21"/>
          <w:szCs w:val="21"/>
        </w:rPr>
        <w:t>为充分发挥泰科易——泰州网上技术交易平台（以下简称平台）的作用，进一步激发企业创新活力，促进泰州技术市场快速发展，推动科技成果转化和产业化，根据《国务院关于加快推进科技服务业的若干意见》（国发【2014】49号）、《技术合同认定规则》（国科发政字【2001】253号）及《泰州市科技创新券实施办法》精神，特制定本实施办法。</w:t>
      </w:r>
    </w:p>
    <w:p w:rsidR="009B44F5" w:rsidRDefault="009B44F5" w:rsidP="009B44F5">
      <w:pPr>
        <w:pStyle w:val="a3"/>
        <w:shd w:val="clear" w:color="auto" w:fill="FFFFFF"/>
        <w:spacing w:before="0" w:beforeAutospacing="0" w:after="150" w:afterAutospacing="0" w:line="450" w:lineRule="atLeast"/>
        <w:ind w:firstLine="480"/>
        <w:rPr>
          <w:rFonts w:hint="eastAsia"/>
          <w:color w:val="1B1B1B"/>
          <w:sz w:val="21"/>
          <w:szCs w:val="21"/>
        </w:rPr>
      </w:pPr>
      <w:r>
        <w:rPr>
          <w:rFonts w:hint="eastAsia"/>
          <w:color w:val="1B1B1B"/>
          <w:sz w:val="21"/>
          <w:szCs w:val="21"/>
        </w:rPr>
        <w:t> </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第一条</w:t>
      </w:r>
      <w:r>
        <w:rPr>
          <w:rFonts w:hint="eastAsia"/>
          <w:color w:val="1B1B1B"/>
          <w:sz w:val="21"/>
          <w:szCs w:val="21"/>
        </w:rPr>
        <w:t xml:space="preserve">　本办法所指技术交易是指通过平台成交，且交易金额履约完成。</w:t>
      </w:r>
    </w:p>
    <w:p w:rsidR="009B44F5" w:rsidRDefault="009B44F5" w:rsidP="009B44F5">
      <w:pPr>
        <w:pStyle w:val="a3"/>
        <w:shd w:val="clear" w:color="auto" w:fill="FFFFFF"/>
        <w:spacing w:before="0" w:beforeAutospacing="0" w:after="150" w:afterAutospacing="0" w:line="450" w:lineRule="atLeast"/>
        <w:ind w:firstLine="480"/>
        <w:rPr>
          <w:rFonts w:hint="eastAsia"/>
          <w:color w:val="1B1B1B"/>
          <w:sz w:val="21"/>
          <w:szCs w:val="21"/>
        </w:rPr>
      </w:pPr>
      <w:r>
        <w:rPr>
          <w:rFonts w:hint="eastAsia"/>
          <w:color w:val="1B1B1B"/>
          <w:sz w:val="21"/>
          <w:szCs w:val="21"/>
        </w:rPr>
        <w:t>本办法所指技术交易，应当符合《中华人民共和国合同法》关于技术交易的有关规定，并签订规范、完整的技术交易合同，包括技术开发、技术转让以及与技术开发、技术转让业务相关的技术咨询、技术服务等。以样品、样机、设备等货品为载体提供技术和开发成果的，货品价值不计入技术交易奖励范畴。</w:t>
      </w:r>
    </w:p>
    <w:p w:rsidR="009B44F5" w:rsidRDefault="009B44F5" w:rsidP="009B44F5">
      <w:pPr>
        <w:pStyle w:val="a3"/>
        <w:shd w:val="clear" w:color="auto" w:fill="FFFFFF"/>
        <w:spacing w:before="0" w:beforeAutospacing="0" w:after="150" w:afterAutospacing="0" w:line="450" w:lineRule="atLeast"/>
        <w:ind w:firstLine="480"/>
        <w:rPr>
          <w:rFonts w:hint="eastAsia"/>
          <w:color w:val="1B1B1B"/>
          <w:sz w:val="21"/>
          <w:szCs w:val="21"/>
        </w:rPr>
      </w:pPr>
      <w:r>
        <w:rPr>
          <w:rFonts w:hint="eastAsia"/>
          <w:color w:val="1B1B1B"/>
          <w:sz w:val="21"/>
          <w:szCs w:val="21"/>
        </w:rPr>
        <w:t>本办法所指技术交易，一般不包括企业管理系统的信息化研究开发项目和电子商务系统的研究开发项目，不包括通过简单改变尺寸、图案、花样或通过类似技术手段的变换实现的产品简单改型、工艺变更以及主材料配方调整等项目。</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第二条</w:t>
      </w:r>
      <w:r>
        <w:rPr>
          <w:rFonts w:hint="eastAsia"/>
          <w:color w:val="1B1B1B"/>
          <w:sz w:val="21"/>
          <w:szCs w:val="21"/>
        </w:rPr>
        <w:t> 平台成交项目的专项奖励资金从市创新券资金中列支。</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第三条</w:t>
      </w:r>
      <w:r>
        <w:rPr>
          <w:rFonts w:hint="eastAsia"/>
          <w:color w:val="1B1B1B"/>
          <w:sz w:val="21"/>
          <w:szCs w:val="21"/>
        </w:rPr>
        <w:t xml:space="preserve">　凡税收归属泰州市的企业，通过平台引进高校、科研院所、非关联企业和个人的技术成果实现技术交易，按照企业类创新券奖励办法执行，且A券类企业奖励五万元创新券。</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第四条</w:t>
      </w:r>
      <w:r>
        <w:rPr>
          <w:rFonts w:hint="eastAsia"/>
          <w:color w:val="1B1B1B"/>
          <w:sz w:val="21"/>
          <w:szCs w:val="21"/>
        </w:rPr>
        <w:t> 　按每年实际发生的技术交易额的一定比例奖励平台运营商（科易网），具体标准按照双方合同执行。</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第五条</w:t>
      </w:r>
      <w:r>
        <w:rPr>
          <w:rFonts w:hint="eastAsia"/>
          <w:color w:val="1B1B1B"/>
          <w:sz w:val="21"/>
          <w:szCs w:val="21"/>
        </w:rPr>
        <w:t> 凡帮助税收归属泰州市的企业在平台实现技术交易的技术经纪机构（经纪人）或企业科技专员，按交易额的1%给予奖励，单个项目奖励不超过2万元。</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第六条</w:t>
      </w:r>
      <w:r>
        <w:rPr>
          <w:rFonts w:hint="eastAsia"/>
          <w:color w:val="1B1B1B"/>
          <w:sz w:val="21"/>
          <w:szCs w:val="21"/>
        </w:rPr>
        <w:t> 高校、科研院所通过平台与泰州市区域内企业技术交易的成交项目，按交易额的1%给予高校院所科技专员，单个项目奖励不超过2万元。</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第七条</w:t>
      </w:r>
      <w:r>
        <w:rPr>
          <w:rFonts w:hint="eastAsia"/>
          <w:color w:val="1B1B1B"/>
          <w:sz w:val="21"/>
          <w:szCs w:val="21"/>
        </w:rPr>
        <w:t xml:space="preserve">　按每年实际发生技术交易额的1%安排平台工作经费和经纪人、科技专员队伍的培训及管理经费。</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lastRenderedPageBreak/>
        <w:t>第八条</w:t>
      </w:r>
      <w:r>
        <w:rPr>
          <w:rFonts w:hint="eastAsia"/>
          <w:color w:val="1B1B1B"/>
          <w:sz w:val="21"/>
          <w:szCs w:val="21"/>
        </w:rPr>
        <w:t xml:space="preserve">　本专项奖励资金的兑现按照泰州市科技创新券实施办法规定的兑现程序与要求办理。</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第九条</w:t>
      </w:r>
      <w:r>
        <w:rPr>
          <w:rFonts w:hint="eastAsia"/>
          <w:color w:val="1B1B1B"/>
          <w:sz w:val="21"/>
          <w:szCs w:val="21"/>
        </w:rPr>
        <w:t xml:space="preserve">　所有申领专项奖励的主体均纳入泰州市科技诚信系统管理。</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b/>
          <w:bCs/>
          <w:color w:val="1B1B1B"/>
          <w:sz w:val="21"/>
          <w:szCs w:val="21"/>
        </w:rPr>
        <w:t>第十条</w:t>
      </w:r>
      <w:r>
        <w:rPr>
          <w:rFonts w:hint="eastAsia"/>
          <w:color w:val="1B1B1B"/>
          <w:sz w:val="21"/>
          <w:szCs w:val="21"/>
        </w:rPr>
        <w:t> 平台为靖江市、泰兴市、兴化市提供技术交易服务，技术经纪机构（经纪人）、企业及高校院所科技专员同标准奖励。</w:t>
      </w:r>
    </w:p>
    <w:p w:rsidR="009B44F5" w:rsidRDefault="009B44F5" w:rsidP="009B44F5">
      <w:pPr>
        <w:pStyle w:val="hur2"/>
        <w:shd w:val="clear" w:color="auto" w:fill="FFFFFF"/>
        <w:spacing w:before="0" w:beforeAutospacing="0" w:after="150" w:afterAutospacing="0" w:line="450" w:lineRule="atLeast"/>
        <w:rPr>
          <w:rFonts w:hint="eastAsia"/>
          <w:color w:val="1B1B1B"/>
          <w:sz w:val="21"/>
          <w:szCs w:val="21"/>
        </w:rPr>
      </w:pPr>
      <w:r>
        <w:rPr>
          <w:rFonts w:hint="eastAsia"/>
          <w:color w:val="1B1B1B"/>
          <w:sz w:val="21"/>
          <w:szCs w:val="21"/>
        </w:rPr>
        <w:t>本办法自公布之日起施行。</w:t>
      </w:r>
    </w:p>
    <w:p w:rsidR="009B44F5" w:rsidRDefault="009B44F5" w:rsidP="009B44F5">
      <w:pPr>
        <w:pStyle w:val="hur3"/>
        <w:pBdr>
          <w:top w:val="dashed" w:sz="6" w:space="15" w:color="CCCCCC"/>
        </w:pBdr>
        <w:shd w:val="clear" w:color="auto" w:fill="FFFFFF"/>
        <w:spacing w:before="0" w:beforeAutospacing="0" w:after="150" w:afterAutospacing="0" w:line="450" w:lineRule="atLeast"/>
        <w:ind w:firstLine="480"/>
        <w:jc w:val="right"/>
        <w:rPr>
          <w:rFonts w:hint="eastAsia"/>
          <w:color w:val="1B1B1B"/>
          <w:sz w:val="21"/>
          <w:szCs w:val="21"/>
        </w:rPr>
      </w:pPr>
      <w:r>
        <w:rPr>
          <w:rFonts w:hint="eastAsia"/>
          <w:color w:val="1B1B1B"/>
          <w:sz w:val="21"/>
          <w:szCs w:val="21"/>
        </w:rPr>
        <w:t>泰州市人民政府办公室</w:t>
      </w:r>
      <w:r>
        <w:rPr>
          <w:rFonts w:hint="eastAsia"/>
          <w:color w:val="1B1B1B"/>
          <w:sz w:val="21"/>
          <w:szCs w:val="21"/>
        </w:rPr>
        <w:br/>
        <w:t>2015年5月27日</w:t>
      </w:r>
    </w:p>
    <w:p w:rsidR="00012276" w:rsidRPr="009B44F5" w:rsidRDefault="009B44F5"/>
    <w:sectPr w:rsidR="00012276" w:rsidRPr="009B44F5" w:rsidSect="00EB13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4F5"/>
    <w:rsid w:val="00017BB0"/>
    <w:rsid w:val="009B44F5"/>
    <w:rsid w:val="00A01B07"/>
    <w:rsid w:val="00EB1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ur1">
    <w:name w:val="hur1"/>
    <w:basedOn w:val="a"/>
    <w:rsid w:val="009B44F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B44F5"/>
    <w:pPr>
      <w:widowControl/>
      <w:spacing w:before="100" w:beforeAutospacing="1" w:after="100" w:afterAutospacing="1"/>
      <w:jc w:val="left"/>
    </w:pPr>
    <w:rPr>
      <w:rFonts w:ascii="宋体" w:eastAsia="宋体" w:hAnsi="宋体" w:cs="宋体"/>
      <w:kern w:val="0"/>
      <w:sz w:val="24"/>
      <w:szCs w:val="24"/>
    </w:rPr>
  </w:style>
  <w:style w:type="paragraph" w:customStyle="1" w:styleId="hur2">
    <w:name w:val="hur2"/>
    <w:basedOn w:val="a"/>
    <w:rsid w:val="009B44F5"/>
    <w:pPr>
      <w:widowControl/>
      <w:spacing w:before="100" w:beforeAutospacing="1" w:after="100" w:afterAutospacing="1"/>
      <w:jc w:val="left"/>
    </w:pPr>
    <w:rPr>
      <w:rFonts w:ascii="宋体" w:eastAsia="宋体" w:hAnsi="宋体" w:cs="宋体"/>
      <w:kern w:val="0"/>
      <w:sz w:val="24"/>
      <w:szCs w:val="24"/>
    </w:rPr>
  </w:style>
  <w:style w:type="paragraph" w:customStyle="1" w:styleId="hur3">
    <w:name w:val="hur3"/>
    <w:basedOn w:val="a"/>
    <w:rsid w:val="009B44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5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蓝小安</dc:creator>
  <cp:lastModifiedBy>蓝小安</cp:lastModifiedBy>
  <cp:revision>1</cp:revision>
  <dcterms:created xsi:type="dcterms:W3CDTF">2018-09-05T06:53:00Z</dcterms:created>
  <dcterms:modified xsi:type="dcterms:W3CDTF">2018-09-05T06:53:00Z</dcterms:modified>
</cp:coreProperties>
</file>